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C076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  <w:bookmarkStart w:id="0" w:name="_Hlk150887221"/>
      <w:bookmarkStart w:id="1" w:name="_MailOriginal"/>
      <w:bookmarkStart w:id="2" w:name="_Hlk144134604"/>
      <w:r w:rsidRPr="00A746CA">
        <w:rPr>
          <w:rFonts w:ascii="Arial" w:hAnsi="Arial"/>
          <w:b/>
          <w:bCs/>
          <w:sz w:val="24"/>
          <w:lang w:val="it-CH"/>
        </w:rPr>
        <w:t>Disegno di</w:t>
      </w:r>
    </w:p>
    <w:p w14:paraId="1E2C17C8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</w:p>
    <w:p w14:paraId="1C990DE1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  <w:r w:rsidRPr="00A746CA">
        <w:rPr>
          <w:rFonts w:ascii="Arial" w:hAnsi="Arial"/>
          <w:b/>
          <w:bCs/>
          <w:sz w:val="24"/>
          <w:lang w:val="it-CH"/>
        </w:rPr>
        <w:t>Legge di applicazione della legge federale sull’assicurazione malattie (</w:t>
      </w:r>
      <w:proofErr w:type="spellStart"/>
      <w:r w:rsidRPr="00A746CA">
        <w:rPr>
          <w:rFonts w:ascii="Arial" w:hAnsi="Arial"/>
          <w:b/>
          <w:bCs/>
          <w:sz w:val="24"/>
          <w:lang w:val="it-CH"/>
        </w:rPr>
        <w:t>LCAMal</w:t>
      </w:r>
      <w:proofErr w:type="spellEnd"/>
      <w:r w:rsidRPr="00A746CA">
        <w:rPr>
          <w:rFonts w:ascii="Arial" w:hAnsi="Arial"/>
          <w:b/>
          <w:bCs/>
          <w:sz w:val="24"/>
          <w:lang w:val="it-CH"/>
        </w:rPr>
        <w:t xml:space="preserve">) </w:t>
      </w:r>
    </w:p>
    <w:p w14:paraId="36B62963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A746CA">
        <w:rPr>
          <w:rFonts w:ascii="Arial" w:hAnsi="Arial"/>
          <w:bCs/>
          <w:sz w:val="24"/>
          <w:lang w:val="it-CH"/>
        </w:rPr>
        <w:t>modifica del …</w:t>
      </w:r>
    </w:p>
    <w:p w14:paraId="055E7ABC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14972184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A746CA">
        <w:rPr>
          <w:rFonts w:ascii="Arial" w:hAnsi="Arial"/>
          <w:bCs/>
          <w:sz w:val="24"/>
          <w:lang w:val="it-CH"/>
        </w:rPr>
        <w:t xml:space="preserve">IL GRAN CONSIGLIO </w:t>
      </w:r>
    </w:p>
    <w:p w14:paraId="04ED86AB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A746CA">
        <w:rPr>
          <w:rFonts w:ascii="Arial" w:hAnsi="Arial"/>
          <w:bCs/>
          <w:sz w:val="24"/>
          <w:lang w:val="it-CH"/>
        </w:rPr>
        <w:t xml:space="preserve">DELLA REPUBBLICA E CANTONE TICINO </w:t>
      </w:r>
    </w:p>
    <w:p w14:paraId="27540D10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5E85E877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A746CA">
        <w:rPr>
          <w:rFonts w:ascii="Arial" w:hAnsi="Arial"/>
          <w:bCs/>
          <w:sz w:val="24"/>
          <w:lang w:val="it-CH"/>
        </w:rPr>
        <w:t>visto il messaggio del Consiglio di Stato n. 8</w:t>
      </w:r>
      <w:r>
        <w:rPr>
          <w:rFonts w:ascii="Arial" w:hAnsi="Arial"/>
          <w:bCs/>
          <w:sz w:val="24"/>
          <w:lang w:val="it-CH"/>
        </w:rPr>
        <w:t>619</w:t>
      </w:r>
      <w:r w:rsidRPr="00A746CA">
        <w:rPr>
          <w:rFonts w:ascii="Arial" w:hAnsi="Arial"/>
          <w:bCs/>
          <w:sz w:val="24"/>
          <w:lang w:val="it-CH"/>
        </w:rPr>
        <w:t xml:space="preserve"> del 2</w:t>
      </w:r>
      <w:r>
        <w:rPr>
          <w:rFonts w:ascii="Arial" w:hAnsi="Arial"/>
          <w:bCs/>
          <w:sz w:val="24"/>
          <w:lang w:val="it-CH"/>
        </w:rPr>
        <w:t>9</w:t>
      </w:r>
      <w:r w:rsidRPr="00A746CA">
        <w:rPr>
          <w:rFonts w:ascii="Arial" w:hAnsi="Arial"/>
          <w:bCs/>
          <w:sz w:val="24"/>
          <w:lang w:val="it-CH"/>
        </w:rPr>
        <w:t xml:space="preserve"> settembre 202</w:t>
      </w:r>
      <w:r>
        <w:rPr>
          <w:rFonts w:ascii="Arial" w:hAnsi="Arial"/>
          <w:bCs/>
          <w:sz w:val="24"/>
          <w:lang w:val="it-CH"/>
        </w:rPr>
        <w:t>5</w:t>
      </w:r>
      <w:r w:rsidRPr="00A746CA">
        <w:rPr>
          <w:rFonts w:ascii="Arial" w:hAnsi="Arial"/>
          <w:bCs/>
          <w:sz w:val="24"/>
          <w:lang w:val="it-CH"/>
        </w:rPr>
        <w:t>,</w:t>
      </w:r>
    </w:p>
    <w:p w14:paraId="52340C46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31C7BA9D" w14:textId="77777777" w:rsidR="005F7E2B" w:rsidRDefault="005F7E2B" w:rsidP="005F7E2B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  <w:r w:rsidRPr="00A746CA">
        <w:rPr>
          <w:rFonts w:ascii="Arial" w:hAnsi="Arial"/>
          <w:b/>
          <w:bCs/>
          <w:sz w:val="24"/>
          <w:lang w:val="it-CH"/>
        </w:rPr>
        <w:t xml:space="preserve">decreta: </w:t>
      </w:r>
    </w:p>
    <w:p w14:paraId="564EE310" w14:textId="77777777" w:rsidR="005F7E2B" w:rsidRDefault="005F7E2B" w:rsidP="005F7E2B">
      <w:pPr>
        <w:pStyle w:val="Corpotesto"/>
        <w:spacing w:line="240" w:lineRule="auto"/>
        <w:rPr>
          <w:rFonts w:ascii="Arial" w:hAnsi="Arial"/>
          <w:b/>
          <w:sz w:val="24"/>
          <w:lang w:val="it-CH"/>
        </w:rPr>
      </w:pPr>
    </w:p>
    <w:p w14:paraId="2B69C856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/>
          <w:sz w:val="24"/>
          <w:lang w:val="it-CH"/>
        </w:rPr>
      </w:pPr>
      <w:r w:rsidRPr="00A746CA">
        <w:rPr>
          <w:rFonts w:ascii="Arial" w:hAnsi="Arial"/>
          <w:b/>
          <w:sz w:val="24"/>
          <w:lang w:val="it-CH"/>
        </w:rPr>
        <w:t>I</w:t>
      </w:r>
    </w:p>
    <w:p w14:paraId="143757D2" w14:textId="77777777" w:rsidR="005F7E2B" w:rsidRPr="005F7E2B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  <w:r w:rsidRPr="005F7E2B">
        <w:rPr>
          <w:rFonts w:ascii="Arial" w:hAnsi="Arial"/>
          <w:bCs/>
          <w:sz w:val="24"/>
          <w:lang w:val="it-CH"/>
        </w:rPr>
        <w:t>La legge di applicazione della legge federale sull’assicurazione malattie del 26 giugno 1997 (</w:t>
      </w:r>
      <w:proofErr w:type="spellStart"/>
      <w:r w:rsidRPr="005F7E2B">
        <w:rPr>
          <w:rFonts w:ascii="Arial" w:hAnsi="Arial"/>
          <w:bCs/>
          <w:sz w:val="24"/>
          <w:lang w:val="it-CH"/>
        </w:rPr>
        <w:t>LCAMal</w:t>
      </w:r>
      <w:proofErr w:type="spellEnd"/>
      <w:r w:rsidRPr="005F7E2B">
        <w:rPr>
          <w:rFonts w:ascii="Arial" w:hAnsi="Arial"/>
          <w:bCs/>
          <w:sz w:val="24"/>
          <w:lang w:val="it-CH"/>
        </w:rPr>
        <w:t>) è modificata come segue:</w:t>
      </w:r>
    </w:p>
    <w:p w14:paraId="2A30DF31" w14:textId="77777777" w:rsidR="005F7E2B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2FEF34B7" w14:textId="77777777" w:rsidR="005F7E2B" w:rsidRPr="008F15A4" w:rsidRDefault="005F7E2B" w:rsidP="005F7E2B">
      <w:pPr>
        <w:spacing w:after="0" w:line="240" w:lineRule="auto"/>
        <w:jc w:val="both"/>
        <w:rPr>
          <w:rFonts w:ascii="Arial" w:hAnsi="Arial" w:cs="Arial"/>
          <w:b/>
          <w:bCs/>
          <w:strike/>
          <w:sz w:val="24"/>
          <w:szCs w:val="24"/>
        </w:rPr>
      </w:pPr>
      <w:r w:rsidRPr="008F15A4">
        <w:rPr>
          <w:rFonts w:ascii="Arial" w:hAnsi="Arial" w:cs="Arial"/>
          <w:b/>
          <w:bCs/>
          <w:strike/>
          <w:sz w:val="24"/>
          <w:szCs w:val="24"/>
        </w:rPr>
        <w:t>Art. 32a cpv. 2 e 3</w:t>
      </w:r>
    </w:p>
    <w:p w14:paraId="06C62920" w14:textId="77777777" w:rsidR="005F7E2B" w:rsidRPr="008F15A4" w:rsidRDefault="005F7E2B" w:rsidP="005F7E2B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F15A4">
        <w:rPr>
          <w:rFonts w:ascii="Arial" w:hAnsi="Arial" w:cs="Arial"/>
          <w:strike/>
          <w:sz w:val="24"/>
          <w:szCs w:val="24"/>
          <w:vertAlign w:val="superscript"/>
        </w:rPr>
        <w:t>2</w:t>
      </w:r>
      <w:r w:rsidRPr="008F15A4">
        <w:rPr>
          <w:rFonts w:ascii="Arial" w:hAnsi="Arial" w:cs="Arial"/>
          <w:strike/>
          <w:sz w:val="24"/>
          <w:szCs w:val="24"/>
        </w:rPr>
        <w:t>Per le unità di riferimento senza figli, il reddito disponibile massimo è definito come segue:</w:t>
      </w:r>
    </w:p>
    <w:p w14:paraId="7B245F87" w14:textId="77777777" w:rsidR="005F7E2B" w:rsidRPr="008F15A4" w:rsidRDefault="005F7E2B" w:rsidP="005F7E2B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F15A4">
        <w:rPr>
          <w:rFonts w:ascii="Arial" w:hAnsi="Arial" w:cs="Arial"/>
          <w:strike/>
          <w:sz w:val="24"/>
          <w:szCs w:val="24"/>
        </w:rPr>
        <w:t>RDM = costante del 3.8 x 50% del limite di fabbisogno applicabile all'unità di riferimento.</w:t>
      </w:r>
    </w:p>
    <w:p w14:paraId="3D71B302" w14:textId="77777777" w:rsidR="005F7E2B" w:rsidRPr="008F15A4" w:rsidRDefault="005F7E2B" w:rsidP="005F7E2B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F15A4">
        <w:rPr>
          <w:rFonts w:ascii="Arial" w:hAnsi="Arial" w:cs="Arial"/>
          <w:strike/>
          <w:sz w:val="24"/>
          <w:szCs w:val="24"/>
          <w:vertAlign w:val="superscript"/>
        </w:rPr>
        <w:t>3</w:t>
      </w:r>
      <w:r w:rsidRPr="008F15A4">
        <w:rPr>
          <w:rFonts w:ascii="Arial" w:hAnsi="Arial" w:cs="Arial"/>
          <w:strike/>
          <w:sz w:val="24"/>
          <w:szCs w:val="24"/>
        </w:rPr>
        <w:t>Per le UR con figli, il reddito disponibile massimo è definito come segue:</w:t>
      </w:r>
    </w:p>
    <w:p w14:paraId="4DED1C08" w14:textId="77777777" w:rsidR="005F7E2B" w:rsidRPr="008F15A4" w:rsidRDefault="005F7E2B" w:rsidP="005F7E2B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F15A4">
        <w:rPr>
          <w:rFonts w:ascii="Arial" w:hAnsi="Arial" w:cs="Arial"/>
          <w:strike/>
          <w:sz w:val="24"/>
          <w:szCs w:val="24"/>
        </w:rPr>
        <w:t>RDM = [costante del 4.7 + (1 - (</w:t>
      </w:r>
      <w:r w:rsidRPr="008F15A4">
        <w:rPr>
          <w:rFonts w:ascii="Arial" w:hAnsi="Arial" w:cs="Arial"/>
          <w:i/>
          <w:strike/>
          <w:sz w:val="24"/>
          <w:szCs w:val="24"/>
        </w:rPr>
        <w:t>n. figli</w:t>
      </w:r>
      <w:r w:rsidRPr="008F15A4">
        <w:rPr>
          <w:rFonts w:ascii="Arial" w:hAnsi="Arial" w:cs="Arial"/>
          <w:strike/>
          <w:sz w:val="24"/>
          <w:szCs w:val="24"/>
        </w:rPr>
        <w:t>) / 10)] x 50% del limite di fabbisogno applicabile all'unità di riferimento.</w:t>
      </w:r>
    </w:p>
    <w:p w14:paraId="1C59439D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2783964F" w14:textId="77777777" w:rsidR="005F7E2B" w:rsidRDefault="005F7E2B" w:rsidP="005F7E2B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</w:p>
    <w:p w14:paraId="7E2A17FB" w14:textId="77777777" w:rsidR="005F7E2B" w:rsidRPr="00FB7D30" w:rsidRDefault="005F7E2B" w:rsidP="005F7E2B">
      <w:pPr>
        <w:spacing w:after="0" w:line="240" w:lineRule="auto"/>
        <w:jc w:val="both"/>
        <w:rPr>
          <w:rFonts w:ascii="Arial" w:hAnsi="Arial" w:cs="Arial"/>
          <w:b/>
          <w:strike/>
          <w:sz w:val="24"/>
          <w:szCs w:val="24"/>
        </w:rPr>
      </w:pPr>
      <w:r w:rsidRPr="00FB7D30">
        <w:rPr>
          <w:rFonts w:ascii="Arial" w:hAnsi="Arial" w:cs="Arial"/>
          <w:b/>
          <w:strike/>
          <w:sz w:val="24"/>
          <w:szCs w:val="24"/>
        </w:rPr>
        <w:t>D. Limite di fabbisogno</w:t>
      </w:r>
    </w:p>
    <w:p w14:paraId="2FE6FCBC" w14:textId="77777777" w:rsidR="005F7E2B" w:rsidRPr="00FB7D30" w:rsidRDefault="005F7E2B" w:rsidP="005F7E2B">
      <w:pPr>
        <w:spacing w:after="0" w:line="240" w:lineRule="auto"/>
        <w:jc w:val="both"/>
        <w:rPr>
          <w:rFonts w:ascii="Arial" w:hAnsi="Arial" w:cs="Arial"/>
          <w:b/>
          <w:strike/>
          <w:sz w:val="24"/>
          <w:szCs w:val="24"/>
        </w:rPr>
      </w:pPr>
      <w:r w:rsidRPr="00FB7D30">
        <w:rPr>
          <w:rFonts w:ascii="Arial" w:hAnsi="Arial" w:cs="Arial"/>
          <w:b/>
          <w:strike/>
          <w:sz w:val="24"/>
          <w:szCs w:val="24"/>
        </w:rPr>
        <w:t>Art. 32b</w:t>
      </w:r>
    </w:p>
    <w:p w14:paraId="4B7A7836" w14:textId="77777777" w:rsidR="005F7E2B" w:rsidRPr="00FB7D30" w:rsidRDefault="005F7E2B" w:rsidP="005F7E2B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  <w:vertAlign w:val="superscript"/>
        </w:rPr>
        <w:t>1</w:t>
      </w:r>
      <w:r w:rsidRPr="00FB7D30">
        <w:rPr>
          <w:rFonts w:ascii="Arial" w:hAnsi="Arial" w:cs="Arial"/>
          <w:strike/>
          <w:sz w:val="24"/>
          <w:szCs w:val="24"/>
        </w:rPr>
        <w:t>Il limite di fabbisogno per il calcolo del reddito disponibile massimo ammonta alla somma di:</w:t>
      </w:r>
    </w:p>
    <w:p w14:paraId="34628722" w14:textId="77777777" w:rsidR="005F7E2B" w:rsidRPr="00FB7D30" w:rsidRDefault="005F7E2B" w:rsidP="005F7E2B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a)</w:t>
      </w:r>
      <w:r w:rsidRPr="00FB7D30">
        <w:rPr>
          <w:rFonts w:ascii="Arial" w:hAnsi="Arial" w:cs="Arial"/>
          <w:strike/>
          <w:sz w:val="24"/>
          <w:szCs w:val="24"/>
        </w:rPr>
        <w:tab/>
        <w:t>fr. 18’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182.−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prima persona dell'unità di riferimento;</w:t>
      </w:r>
    </w:p>
    <w:p w14:paraId="42E7032F" w14:textId="77777777" w:rsidR="005F7E2B" w:rsidRPr="00FB7D30" w:rsidRDefault="005F7E2B" w:rsidP="005F7E2B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b)</w:t>
      </w:r>
      <w:r w:rsidRPr="00FB7D30">
        <w:rPr>
          <w:rFonts w:ascii="Arial" w:hAnsi="Arial" w:cs="Arial"/>
          <w:strike/>
          <w:sz w:val="24"/>
          <w:szCs w:val="24"/>
        </w:rPr>
        <w:tab/>
        <w:t>fr. 8’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955.−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prima persona supplementare dell'unità di riferimento;</w:t>
      </w:r>
    </w:p>
    <w:p w14:paraId="33720821" w14:textId="77777777" w:rsidR="005F7E2B" w:rsidRPr="00FB7D30" w:rsidRDefault="005F7E2B" w:rsidP="005F7E2B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c)</w:t>
      </w:r>
      <w:r w:rsidRPr="00FB7D30">
        <w:rPr>
          <w:rFonts w:ascii="Arial" w:hAnsi="Arial" w:cs="Arial"/>
          <w:strike/>
          <w:sz w:val="24"/>
          <w:szCs w:val="24"/>
        </w:rPr>
        <w:tab/>
        <w:t>fr. 6’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675.−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seconda persona supplementare dell'unità di riferimento;</w:t>
      </w:r>
    </w:p>
    <w:p w14:paraId="38AE9C9A" w14:textId="77777777" w:rsidR="005F7E2B" w:rsidRPr="00FB7D30" w:rsidRDefault="005F7E2B" w:rsidP="005F7E2B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d)</w:t>
      </w:r>
      <w:r w:rsidRPr="00FB7D30">
        <w:rPr>
          <w:rFonts w:ascii="Arial" w:hAnsi="Arial" w:cs="Arial"/>
          <w:strike/>
          <w:sz w:val="24"/>
          <w:szCs w:val="24"/>
        </w:rPr>
        <w:tab/>
        <w:t>fr. 5’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105.−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terza persona supplementare dell'unità di riferimento;</w:t>
      </w:r>
    </w:p>
    <w:p w14:paraId="1DBA85C8" w14:textId="77777777" w:rsidR="005F7E2B" w:rsidRPr="00FB7D30" w:rsidRDefault="005F7E2B" w:rsidP="005F7E2B">
      <w:pPr>
        <w:spacing w:after="0" w:line="24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</w:rPr>
        <w:t>e)</w:t>
      </w:r>
      <w:r w:rsidRPr="00FB7D30">
        <w:rPr>
          <w:rFonts w:ascii="Arial" w:hAnsi="Arial" w:cs="Arial"/>
          <w:strike/>
          <w:sz w:val="24"/>
          <w:szCs w:val="24"/>
        </w:rPr>
        <w:tab/>
        <w:t>fr. 5’</w:t>
      </w:r>
      <w:proofErr w:type="gramStart"/>
      <w:r w:rsidRPr="00FB7D30">
        <w:rPr>
          <w:rFonts w:ascii="Arial" w:hAnsi="Arial" w:cs="Arial"/>
          <w:strike/>
          <w:sz w:val="24"/>
          <w:szCs w:val="24"/>
        </w:rPr>
        <w:t>086.−</w:t>
      </w:r>
      <w:proofErr w:type="gramEnd"/>
      <w:r w:rsidRPr="00FB7D30">
        <w:rPr>
          <w:rFonts w:ascii="Arial" w:hAnsi="Arial" w:cs="Arial"/>
          <w:strike/>
          <w:sz w:val="24"/>
          <w:szCs w:val="24"/>
        </w:rPr>
        <w:t xml:space="preserve"> per la quarta e ogni ulteriore persona supplementare dell'unità di riferimento.</w:t>
      </w:r>
    </w:p>
    <w:p w14:paraId="17AB0839" w14:textId="77777777" w:rsidR="005F7E2B" w:rsidRPr="00FB7D30" w:rsidRDefault="005F7E2B" w:rsidP="005F7E2B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FB7D30">
        <w:rPr>
          <w:rFonts w:ascii="Arial" w:hAnsi="Arial" w:cs="Arial"/>
          <w:strike/>
          <w:sz w:val="24"/>
          <w:szCs w:val="24"/>
          <w:vertAlign w:val="superscript"/>
        </w:rPr>
        <w:t>2</w:t>
      </w:r>
      <w:r w:rsidRPr="00FB7D30">
        <w:rPr>
          <w:rFonts w:ascii="Arial" w:hAnsi="Arial" w:cs="Arial"/>
          <w:strike/>
          <w:sz w:val="24"/>
          <w:szCs w:val="24"/>
        </w:rPr>
        <w:t>Il Consiglio di Stato determina se e in che misura aumentare i limiti di fabbisogno di cui al cpv. 1.</w:t>
      </w:r>
    </w:p>
    <w:p w14:paraId="17673FE3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/>
          <w:bCs/>
          <w:sz w:val="24"/>
          <w:lang w:val="it-CH"/>
        </w:rPr>
      </w:pPr>
    </w:p>
    <w:p w14:paraId="6F0A9E62" w14:textId="77777777" w:rsidR="005F7E2B" w:rsidRPr="00A746CA" w:rsidRDefault="005F7E2B" w:rsidP="005F7E2B">
      <w:pPr>
        <w:pStyle w:val="Corpotesto"/>
        <w:spacing w:line="240" w:lineRule="auto"/>
        <w:rPr>
          <w:rFonts w:ascii="Arial" w:hAnsi="Arial"/>
          <w:bCs/>
          <w:sz w:val="24"/>
          <w:lang w:val="it-CH"/>
        </w:rPr>
      </w:pPr>
    </w:p>
    <w:p w14:paraId="056B1B47" w14:textId="77777777" w:rsidR="005F7E2B" w:rsidRPr="00A45CB8" w:rsidRDefault="005F7E2B" w:rsidP="005F7E2B">
      <w:pPr>
        <w:pStyle w:val="Corpotesto"/>
        <w:spacing w:line="240" w:lineRule="auto"/>
        <w:rPr>
          <w:rFonts w:ascii="Arial" w:hAnsi="Arial"/>
          <w:b/>
          <w:bCs/>
          <w:color w:val="EE0000"/>
          <w:sz w:val="24"/>
          <w:lang w:val="it-CH"/>
        </w:rPr>
      </w:pPr>
      <w:r w:rsidRPr="00A45CB8">
        <w:rPr>
          <w:rFonts w:ascii="Arial" w:hAnsi="Arial"/>
          <w:b/>
          <w:bCs/>
          <w:color w:val="EE0000"/>
          <w:sz w:val="24"/>
          <w:lang w:val="it-CH"/>
        </w:rPr>
        <w:t>Art. 84b – C. Entrata in vigore del testo legale approvato in votazione popolare il 28 settembre 2025 (nuovo)</w:t>
      </w:r>
    </w:p>
    <w:p w14:paraId="79022810" w14:textId="77777777" w:rsidR="005F7E2B" w:rsidRPr="00A45CB8" w:rsidRDefault="005F7E2B" w:rsidP="005F7E2B">
      <w:pPr>
        <w:pStyle w:val="Corpotesto"/>
        <w:spacing w:line="240" w:lineRule="auto"/>
        <w:rPr>
          <w:rFonts w:ascii="Arial" w:hAnsi="Arial"/>
          <w:bCs/>
          <w:color w:val="EE0000"/>
          <w:sz w:val="24"/>
          <w:lang w:val="it-CH"/>
        </w:rPr>
      </w:pPr>
      <w:r w:rsidRPr="00A45CB8">
        <w:rPr>
          <w:rFonts w:ascii="Arial" w:hAnsi="Arial"/>
          <w:bCs/>
          <w:color w:val="EE0000"/>
          <w:sz w:val="24"/>
          <w:lang w:val="it-CH"/>
        </w:rPr>
        <w:t>I capoversi 3 e 4 dell’art. 37 approvati in votazione popolare il 28 settembre 2025 entrano in vigore il 1° gennaio 2026.</w:t>
      </w:r>
    </w:p>
    <w:p w14:paraId="62C7F3A2" w14:textId="77777777" w:rsidR="005F7E2B" w:rsidRPr="00A45CB8" w:rsidRDefault="005F7E2B" w:rsidP="005F7E2B">
      <w:pPr>
        <w:pStyle w:val="Corpotesto"/>
        <w:spacing w:line="240" w:lineRule="auto"/>
        <w:rPr>
          <w:rFonts w:ascii="Arial" w:hAnsi="Arial"/>
          <w:bCs/>
          <w:color w:val="EE0000"/>
          <w:sz w:val="24"/>
          <w:lang w:val="it-CH"/>
        </w:rPr>
      </w:pPr>
    </w:p>
    <w:p w14:paraId="2BDA7794" w14:textId="77777777" w:rsidR="005F7E2B" w:rsidRPr="00A45CB8" w:rsidRDefault="005F7E2B" w:rsidP="005F7E2B">
      <w:pPr>
        <w:pStyle w:val="Corpotesto"/>
        <w:spacing w:line="240" w:lineRule="auto"/>
        <w:rPr>
          <w:rFonts w:ascii="Arial" w:hAnsi="Arial"/>
          <w:b/>
          <w:color w:val="EE0000"/>
          <w:sz w:val="24"/>
          <w:lang w:val="it-CH"/>
        </w:rPr>
      </w:pPr>
      <w:r w:rsidRPr="00A45CB8">
        <w:rPr>
          <w:rFonts w:ascii="Arial" w:hAnsi="Arial"/>
          <w:b/>
          <w:color w:val="EE0000"/>
          <w:sz w:val="24"/>
          <w:lang w:val="it-CH"/>
        </w:rPr>
        <w:t>Art. 85 – D. Abrogazione (modifica del titolo)</w:t>
      </w:r>
    </w:p>
    <w:p w14:paraId="772A278D" w14:textId="77777777" w:rsidR="005F7E2B" w:rsidRPr="00A45CB8" w:rsidRDefault="005F7E2B" w:rsidP="005F7E2B">
      <w:pPr>
        <w:pStyle w:val="Corpotesto"/>
        <w:spacing w:line="240" w:lineRule="auto"/>
        <w:rPr>
          <w:rFonts w:ascii="Arial" w:hAnsi="Arial"/>
          <w:bCs/>
          <w:color w:val="EE0000"/>
          <w:sz w:val="24"/>
          <w:lang w:val="it-CH"/>
        </w:rPr>
      </w:pPr>
    </w:p>
    <w:p w14:paraId="273C54AB" w14:textId="77777777" w:rsidR="005F7E2B" w:rsidRPr="00A45CB8" w:rsidRDefault="005F7E2B" w:rsidP="005F7E2B">
      <w:pPr>
        <w:pStyle w:val="Corpotesto"/>
        <w:spacing w:line="240" w:lineRule="auto"/>
        <w:rPr>
          <w:rFonts w:ascii="Arial" w:hAnsi="Arial"/>
          <w:b/>
          <w:color w:val="EE0000"/>
          <w:sz w:val="24"/>
        </w:rPr>
      </w:pPr>
      <w:r w:rsidRPr="00A45CB8">
        <w:rPr>
          <w:rFonts w:ascii="Arial" w:hAnsi="Arial"/>
          <w:b/>
          <w:color w:val="EE0000"/>
          <w:sz w:val="24"/>
        </w:rPr>
        <w:t>Norma transitoria (nuovo)</w:t>
      </w:r>
    </w:p>
    <w:p w14:paraId="5088F51E" w14:textId="77777777" w:rsidR="005F7E2B" w:rsidRPr="00A45CB8" w:rsidRDefault="005F7E2B" w:rsidP="005F7E2B">
      <w:pPr>
        <w:pStyle w:val="Corpotesto"/>
        <w:spacing w:line="240" w:lineRule="auto"/>
        <w:rPr>
          <w:rFonts w:ascii="Arial" w:hAnsi="Arial"/>
          <w:bCs/>
          <w:color w:val="EE0000"/>
          <w:sz w:val="24"/>
        </w:rPr>
      </w:pPr>
      <w:r w:rsidRPr="00A45CB8">
        <w:rPr>
          <w:rFonts w:ascii="Arial" w:hAnsi="Arial"/>
          <w:bCs/>
          <w:color w:val="EE0000"/>
          <w:sz w:val="24"/>
        </w:rPr>
        <w:t>Per l’anno 2026 l’applicazione dei capoversi 3 e 4 dell’art. 37 è sospesa. Qualora la Banca Nazionale Svizzera riconoscesse al Ticino nel corso del 2026 almeno due quote dei suoi utili, tale sospensione è sostituita per il solo 2026 dall’innalzamento delle costanti di cui all’art. 32a capoversi 2 e 3 del seguente tenore:</w:t>
      </w:r>
    </w:p>
    <w:p w14:paraId="3130674D" w14:textId="77777777" w:rsidR="005F7E2B" w:rsidRPr="00A45CB8" w:rsidRDefault="005F7E2B" w:rsidP="005F7E2B">
      <w:pPr>
        <w:pStyle w:val="Corpotesto"/>
        <w:numPr>
          <w:ilvl w:val="0"/>
          <w:numId w:val="1"/>
        </w:numPr>
        <w:spacing w:line="240" w:lineRule="auto"/>
        <w:rPr>
          <w:rFonts w:ascii="Arial" w:hAnsi="Arial"/>
          <w:bCs/>
          <w:color w:val="EE0000"/>
          <w:sz w:val="24"/>
        </w:rPr>
      </w:pPr>
      <w:r w:rsidRPr="00A45CB8">
        <w:rPr>
          <w:rFonts w:ascii="Arial" w:hAnsi="Arial"/>
          <w:bCs/>
          <w:color w:val="EE0000"/>
          <w:sz w:val="24"/>
        </w:rPr>
        <w:t>cpv. 2, unità di riferimento senza figli, costante del 5.0 invece del 3.8;</w:t>
      </w:r>
    </w:p>
    <w:p w14:paraId="28F7C1ED" w14:textId="77777777" w:rsidR="005F7E2B" w:rsidRPr="00A45CB8" w:rsidRDefault="005F7E2B" w:rsidP="005F7E2B">
      <w:pPr>
        <w:pStyle w:val="Corpotesto"/>
        <w:numPr>
          <w:ilvl w:val="0"/>
          <w:numId w:val="1"/>
        </w:numPr>
        <w:spacing w:line="240" w:lineRule="auto"/>
        <w:rPr>
          <w:rFonts w:ascii="Arial" w:hAnsi="Arial"/>
          <w:bCs/>
          <w:color w:val="EE0000"/>
          <w:sz w:val="24"/>
        </w:rPr>
      </w:pPr>
      <w:r w:rsidRPr="00A45CB8">
        <w:rPr>
          <w:rFonts w:ascii="Arial" w:hAnsi="Arial"/>
          <w:bCs/>
          <w:color w:val="EE0000"/>
          <w:sz w:val="24"/>
        </w:rPr>
        <w:t>cpv. 3, unità di riferimento con figli, costante del 5.9 invece del 4.7.</w:t>
      </w:r>
    </w:p>
    <w:p w14:paraId="43D7697A" w14:textId="77777777" w:rsidR="005F7E2B" w:rsidRDefault="005F7E2B" w:rsidP="005F7E2B">
      <w:pPr>
        <w:pStyle w:val="Corpotesto"/>
        <w:spacing w:line="240" w:lineRule="auto"/>
        <w:rPr>
          <w:rFonts w:ascii="Arial" w:hAnsi="Arial"/>
          <w:bCs/>
          <w:sz w:val="24"/>
        </w:rPr>
      </w:pPr>
    </w:p>
    <w:p w14:paraId="39F658FE" w14:textId="77777777" w:rsidR="005F7E2B" w:rsidRPr="005F7E2B" w:rsidRDefault="005F7E2B" w:rsidP="005F7E2B">
      <w:pPr>
        <w:pStyle w:val="Corpotesto"/>
        <w:spacing w:line="240" w:lineRule="auto"/>
        <w:rPr>
          <w:rFonts w:ascii="Arial" w:hAnsi="Arial"/>
          <w:bCs/>
          <w:sz w:val="24"/>
        </w:rPr>
      </w:pPr>
      <w:r w:rsidRPr="005F7E2B">
        <w:rPr>
          <w:rFonts w:ascii="Arial" w:hAnsi="Arial"/>
          <w:b/>
          <w:sz w:val="24"/>
          <w:lang w:val="it-CH"/>
        </w:rPr>
        <w:t>I</w:t>
      </w:r>
      <w:r w:rsidRPr="005F7E2B">
        <w:rPr>
          <w:rFonts w:ascii="Arial" w:hAnsi="Arial"/>
          <w:bCs/>
          <w:sz w:val="24"/>
          <w:lang w:val="it-CH"/>
        </w:rPr>
        <w:t>I</w:t>
      </w:r>
    </w:p>
    <w:p w14:paraId="3AC0E2CA" w14:textId="77777777" w:rsidR="005F7E2B" w:rsidRPr="005F7E2B" w:rsidRDefault="005F7E2B" w:rsidP="005F7E2B">
      <w:pPr>
        <w:pStyle w:val="Corpotesto"/>
        <w:spacing w:line="240" w:lineRule="auto"/>
        <w:rPr>
          <w:rFonts w:ascii="Arial" w:hAnsi="Arial"/>
          <w:bCs/>
          <w:sz w:val="24"/>
        </w:rPr>
      </w:pPr>
      <w:r w:rsidRPr="005F7E2B">
        <w:rPr>
          <w:rFonts w:ascii="Arial" w:hAnsi="Arial"/>
          <w:bCs/>
          <w:sz w:val="16"/>
          <w:vertAlign w:val="superscript"/>
        </w:rPr>
        <w:t>1</w:t>
      </w:r>
      <w:r w:rsidRPr="005F7E2B">
        <w:rPr>
          <w:rFonts w:ascii="Arial" w:hAnsi="Arial"/>
          <w:bCs/>
          <w:sz w:val="24"/>
        </w:rPr>
        <w:t>La presente legge sottostà a referendum facoltativo.</w:t>
      </w:r>
    </w:p>
    <w:p w14:paraId="14C9230C" w14:textId="77777777" w:rsidR="005F7E2B" w:rsidRPr="005F7E2B" w:rsidRDefault="005F7E2B" w:rsidP="005F7E2B">
      <w:pPr>
        <w:pStyle w:val="Corpotesto"/>
        <w:spacing w:line="240" w:lineRule="auto"/>
        <w:rPr>
          <w:rFonts w:ascii="Arial" w:hAnsi="Arial"/>
          <w:bCs/>
          <w:sz w:val="24"/>
        </w:rPr>
      </w:pPr>
      <w:r w:rsidRPr="005F7E2B">
        <w:rPr>
          <w:rFonts w:ascii="Arial" w:hAnsi="Arial"/>
          <w:bCs/>
          <w:sz w:val="16"/>
          <w:vertAlign w:val="superscript"/>
        </w:rPr>
        <w:t>2</w:t>
      </w:r>
      <w:r w:rsidRPr="005F7E2B">
        <w:rPr>
          <w:rFonts w:ascii="Arial" w:hAnsi="Arial"/>
          <w:bCs/>
          <w:sz w:val="24"/>
        </w:rPr>
        <w:t>Essa entra in vigore il 1° gennaio 2026.</w:t>
      </w:r>
    </w:p>
    <w:p w14:paraId="035237AA" w14:textId="77777777" w:rsidR="005F7E2B" w:rsidRPr="005F7E2B" w:rsidRDefault="005F7E2B" w:rsidP="005F7E2B">
      <w:pPr>
        <w:pStyle w:val="Corpotesto"/>
        <w:rPr>
          <w:rFonts w:ascii="Arial" w:hAnsi="Arial"/>
          <w:bCs/>
        </w:rPr>
      </w:pPr>
    </w:p>
    <w:bookmarkEnd w:id="0"/>
    <w:bookmarkEnd w:id="1"/>
    <w:bookmarkEnd w:id="2"/>
    <w:p w14:paraId="407B3072" w14:textId="77777777" w:rsidR="005F7E2B" w:rsidRPr="005F7E2B" w:rsidRDefault="005F7E2B">
      <w:pPr>
        <w:rPr>
          <w:lang w:val="it-IT"/>
        </w:rPr>
      </w:pPr>
    </w:p>
    <w:sectPr w:rsidR="005F7E2B" w:rsidRPr="005F7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29F"/>
    <w:multiLevelType w:val="hybridMultilevel"/>
    <w:tmpl w:val="7A26A27E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6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2B"/>
    <w:rsid w:val="005F7E2B"/>
    <w:rsid w:val="00A45CB8"/>
    <w:rsid w:val="00E6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C63E7"/>
  <w15:chartTrackingRefBased/>
  <w15:docId w15:val="{F39194E8-0347-4DA7-8788-4D3AE468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E2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7E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7E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E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E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E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E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7E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7E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7E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7E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7E2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nhideWhenUsed/>
    <w:rsid w:val="005F7E2B"/>
    <w:pPr>
      <w:spacing w:after="0" w:line="180" w:lineRule="exact"/>
      <w:jc w:val="both"/>
    </w:pPr>
    <w:rPr>
      <w:rFonts w:ascii="Times" w:eastAsia="Times New Roman" w:hAnsi="Times"/>
      <w:spacing w:val="-2"/>
      <w:sz w:val="17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F7E2B"/>
    <w:rPr>
      <w:rFonts w:ascii="Times" w:eastAsia="Times New Roman" w:hAnsi="Times" w:cs="Times New Roman"/>
      <w:spacing w:val="-2"/>
      <w:kern w:val="0"/>
      <w:sz w:val="17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Durisch</dc:creator>
  <cp:keywords/>
  <dc:description/>
  <cp:lastModifiedBy>Ivo Durisch</cp:lastModifiedBy>
  <cp:revision>2</cp:revision>
  <dcterms:created xsi:type="dcterms:W3CDTF">2025-12-10T11:32:00Z</dcterms:created>
  <dcterms:modified xsi:type="dcterms:W3CDTF">2025-12-10T11:33:00Z</dcterms:modified>
</cp:coreProperties>
</file>