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A4B3" w14:textId="77777777" w:rsidR="008270E3" w:rsidRPr="00187F15" w:rsidRDefault="008270E3" w:rsidP="008270E3">
      <w:pPr>
        <w:rPr>
          <w:rFonts w:eastAsia="Times New Roman" w:cs="Arial"/>
          <w:sz w:val="24"/>
          <w:szCs w:val="24"/>
          <w:lang w:val="it-IT"/>
        </w:rPr>
      </w:pPr>
      <w:r w:rsidRPr="00187F15">
        <w:rPr>
          <w:rFonts w:eastAsia="Times New Roman" w:cs="Arial"/>
          <w:sz w:val="24"/>
          <w:szCs w:val="24"/>
          <w:lang w:val="it-IT"/>
        </w:rPr>
        <w:t>Disegno di</w:t>
      </w:r>
    </w:p>
    <w:p w14:paraId="7EE35026" w14:textId="77777777" w:rsidR="008270E3" w:rsidRPr="00187F15" w:rsidRDefault="008270E3" w:rsidP="008270E3">
      <w:pPr>
        <w:rPr>
          <w:rFonts w:eastAsia="Times New Roman" w:cs="Arial"/>
          <w:sz w:val="24"/>
          <w:szCs w:val="24"/>
          <w:lang w:val="it-IT"/>
        </w:rPr>
      </w:pPr>
    </w:p>
    <w:p w14:paraId="7186BC03" w14:textId="77777777" w:rsidR="008270E3" w:rsidRPr="00187F15" w:rsidRDefault="008270E3" w:rsidP="008270E3">
      <w:pPr>
        <w:rPr>
          <w:rFonts w:eastAsia="Times New Roman" w:cs="Arial"/>
          <w:b/>
          <w:sz w:val="24"/>
          <w:szCs w:val="24"/>
          <w:lang w:val="it-IT"/>
        </w:rPr>
      </w:pPr>
      <w:r w:rsidRPr="00187F15">
        <w:rPr>
          <w:rFonts w:eastAsia="Times New Roman" w:cs="Arial"/>
          <w:b/>
          <w:sz w:val="24"/>
          <w:szCs w:val="24"/>
          <w:lang w:val="it-IT"/>
        </w:rPr>
        <w:t>Decreto legislativo</w:t>
      </w:r>
    </w:p>
    <w:p w14:paraId="58E7A2D1" w14:textId="77777777" w:rsidR="008270E3" w:rsidRPr="00187F15" w:rsidRDefault="008270E3" w:rsidP="008270E3">
      <w:pPr>
        <w:rPr>
          <w:rFonts w:eastAsia="Times New Roman" w:cs="Arial"/>
          <w:b/>
          <w:sz w:val="24"/>
          <w:szCs w:val="24"/>
          <w:lang w:val="it-IT"/>
        </w:rPr>
      </w:pPr>
      <w:r w:rsidRPr="00187F15">
        <w:rPr>
          <w:rFonts w:eastAsia="Times New Roman" w:cs="Arial"/>
          <w:b/>
          <w:sz w:val="24"/>
          <w:szCs w:val="24"/>
          <w:lang w:val="it-IT"/>
        </w:rPr>
        <w:t>concernente il Preventivo 2026</w:t>
      </w:r>
    </w:p>
    <w:p w14:paraId="495E2323" w14:textId="77777777" w:rsidR="008270E3" w:rsidRPr="00187F15" w:rsidRDefault="008270E3" w:rsidP="008270E3">
      <w:pPr>
        <w:rPr>
          <w:rFonts w:eastAsia="Times New Roman" w:cs="Arial"/>
          <w:sz w:val="24"/>
          <w:szCs w:val="24"/>
          <w:lang w:val="it-IT"/>
        </w:rPr>
      </w:pPr>
      <w:r w:rsidRPr="00187F15">
        <w:rPr>
          <w:rFonts w:eastAsia="Times New Roman" w:cs="Arial"/>
          <w:sz w:val="24"/>
          <w:szCs w:val="24"/>
          <w:lang w:val="it-IT"/>
        </w:rPr>
        <w:t xml:space="preserve">del </w:t>
      </w:r>
      <w:r w:rsidRPr="00187F15">
        <w:rPr>
          <w:rFonts w:eastAsia="Calibri" w:cs="Arial"/>
          <w:sz w:val="24"/>
          <w:szCs w:val="24"/>
        </w:rPr>
        <w:t>....................</w:t>
      </w:r>
    </w:p>
    <w:p w14:paraId="3B76CF2E" w14:textId="77777777" w:rsidR="008270E3" w:rsidRPr="00187F15" w:rsidRDefault="008270E3" w:rsidP="008270E3">
      <w:pPr>
        <w:rPr>
          <w:rFonts w:eastAsia="Times New Roman" w:cs="Arial"/>
          <w:sz w:val="24"/>
          <w:szCs w:val="24"/>
          <w:lang w:val="it-IT"/>
        </w:rPr>
      </w:pPr>
    </w:p>
    <w:p w14:paraId="57F6ECE7" w14:textId="77777777" w:rsidR="008270E3" w:rsidRPr="00187F15" w:rsidRDefault="008270E3" w:rsidP="008270E3">
      <w:pPr>
        <w:rPr>
          <w:rFonts w:eastAsia="Times New Roman" w:cs="Arial"/>
          <w:sz w:val="24"/>
          <w:szCs w:val="24"/>
          <w:lang w:val="it-IT"/>
        </w:rPr>
      </w:pPr>
      <w:r w:rsidRPr="00187F15">
        <w:rPr>
          <w:rFonts w:eastAsia="Times New Roman" w:cs="Arial"/>
          <w:sz w:val="24"/>
          <w:szCs w:val="24"/>
          <w:lang w:val="it-IT"/>
        </w:rPr>
        <w:t>IL GRAN CONSIGLIO</w:t>
      </w:r>
    </w:p>
    <w:p w14:paraId="36EB47EA" w14:textId="77777777" w:rsidR="008270E3" w:rsidRPr="00187F15" w:rsidRDefault="008270E3" w:rsidP="008270E3">
      <w:pPr>
        <w:rPr>
          <w:rFonts w:eastAsia="Times New Roman" w:cs="Arial"/>
          <w:sz w:val="24"/>
          <w:szCs w:val="24"/>
          <w:lang w:val="it-IT"/>
        </w:rPr>
      </w:pPr>
      <w:r w:rsidRPr="00187F15">
        <w:rPr>
          <w:rFonts w:eastAsia="Times New Roman" w:cs="Arial"/>
          <w:sz w:val="24"/>
          <w:szCs w:val="24"/>
          <w:lang w:val="it-IT"/>
        </w:rPr>
        <w:t>DELLA REPUBBLICA E CANTONE TICINO</w:t>
      </w:r>
    </w:p>
    <w:p w14:paraId="7B32A85B" w14:textId="77777777" w:rsidR="008270E3" w:rsidRPr="00187F15" w:rsidRDefault="008270E3" w:rsidP="008270E3">
      <w:pPr>
        <w:rPr>
          <w:rFonts w:eastAsia="Times New Roman" w:cs="Arial"/>
          <w:sz w:val="24"/>
          <w:szCs w:val="24"/>
          <w:lang w:val="it-IT"/>
        </w:rPr>
      </w:pPr>
    </w:p>
    <w:p w14:paraId="6171AEC8" w14:textId="77777777" w:rsidR="008270E3" w:rsidRPr="00187F15" w:rsidRDefault="008270E3" w:rsidP="008270E3">
      <w:pPr>
        <w:rPr>
          <w:rFonts w:eastAsia="Calibri" w:cs="Arial"/>
          <w:sz w:val="24"/>
          <w:szCs w:val="24"/>
        </w:rPr>
      </w:pPr>
      <w:r w:rsidRPr="00187F15">
        <w:rPr>
          <w:rFonts w:eastAsia="Calibri" w:cs="Arial"/>
          <w:sz w:val="24"/>
          <w:szCs w:val="24"/>
        </w:rPr>
        <w:t>visto il messaggio del Consiglio di Stato n. 8619 del 29 settembre 2025,</w:t>
      </w:r>
    </w:p>
    <w:p w14:paraId="614B1515" w14:textId="77777777" w:rsidR="008270E3" w:rsidRPr="00187F15" w:rsidRDefault="008270E3" w:rsidP="008270E3">
      <w:pPr>
        <w:rPr>
          <w:rFonts w:eastAsia="Calibri" w:cs="Arial"/>
          <w:sz w:val="24"/>
          <w:szCs w:val="24"/>
        </w:rPr>
      </w:pPr>
      <w:r w:rsidRPr="00187F15">
        <w:rPr>
          <w:rFonts w:eastAsia="Calibri" w:cs="Arial"/>
          <w:sz w:val="24"/>
          <w:szCs w:val="24"/>
        </w:rPr>
        <w:t>visto il rapporto di maggioranza della Commissione gestione e finanze n. 8619 del 2 dicembre 2025,</w:t>
      </w:r>
    </w:p>
    <w:p w14:paraId="1874AC16" w14:textId="77777777" w:rsidR="008270E3" w:rsidRPr="00187F15" w:rsidRDefault="008270E3" w:rsidP="008270E3">
      <w:pPr>
        <w:rPr>
          <w:rFonts w:eastAsia="Times New Roman" w:cs="Arial"/>
          <w:sz w:val="24"/>
          <w:szCs w:val="24"/>
          <w:lang w:val="it-IT"/>
        </w:rPr>
      </w:pPr>
    </w:p>
    <w:p w14:paraId="4EFA7938" w14:textId="77777777" w:rsidR="008270E3" w:rsidRPr="00187F15" w:rsidRDefault="008270E3" w:rsidP="008270E3">
      <w:pPr>
        <w:rPr>
          <w:rFonts w:eastAsia="Times New Roman" w:cs="Arial"/>
          <w:sz w:val="24"/>
          <w:szCs w:val="24"/>
        </w:rPr>
      </w:pPr>
      <w:r w:rsidRPr="00187F15">
        <w:rPr>
          <w:rFonts w:eastAsia="Times New Roman" w:cs="Arial"/>
          <w:sz w:val="24"/>
          <w:szCs w:val="24"/>
          <w:lang w:val="it-IT"/>
        </w:rPr>
        <w:t>decreta</w:t>
      </w:r>
      <w:r w:rsidRPr="00187F15">
        <w:rPr>
          <w:rFonts w:eastAsia="Times New Roman" w:cs="Arial"/>
          <w:sz w:val="24"/>
          <w:szCs w:val="24"/>
        </w:rPr>
        <w:t>:</w:t>
      </w:r>
    </w:p>
    <w:p w14:paraId="7A094024" w14:textId="77777777" w:rsidR="008270E3" w:rsidRPr="00187F15" w:rsidRDefault="008270E3" w:rsidP="008270E3">
      <w:pPr>
        <w:rPr>
          <w:rFonts w:eastAsia="Times New Roman" w:cs="Arial"/>
          <w:sz w:val="24"/>
          <w:szCs w:val="24"/>
          <w:lang w:val="it-IT"/>
        </w:rPr>
      </w:pPr>
    </w:p>
    <w:tbl>
      <w:tblPr>
        <w:tblW w:w="5000" w:type="pct"/>
        <w:tblCellMar>
          <w:left w:w="70" w:type="dxa"/>
          <w:right w:w="70" w:type="dxa"/>
        </w:tblCellMar>
        <w:tblLook w:val="04A0" w:firstRow="1" w:lastRow="0" w:firstColumn="1" w:lastColumn="0" w:noHBand="0" w:noVBand="1"/>
      </w:tblPr>
      <w:tblGrid>
        <w:gridCol w:w="5443"/>
        <w:gridCol w:w="2356"/>
        <w:gridCol w:w="1839"/>
      </w:tblGrid>
      <w:tr w:rsidR="008270E3" w:rsidRPr="00187F15" w14:paraId="43C6F5CC" w14:textId="77777777" w:rsidTr="00544EDC">
        <w:trPr>
          <w:trHeight w:val="315"/>
        </w:trPr>
        <w:tc>
          <w:tcPr>
            <w:tcW w:w="2824" w:type="pct"/>
            <w:tcBorders>
              <w:top w:val="nil"/>
              <w:left w:val="nil"/>
              <w:bottom w:val="nil"/>
              <w:right w:val="nil"/>
            </w:tcBorders>
            <w:shd w:val="clear" w:color="000000" w:fill="FFFFFF"/>
            <w:noWrap/>
            <w:vAlign w:val="bottom"/>
            <w:hideMark/>
          </w:tcPr>
          <w:p w14:paraId="4FEEAD5F"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Art. 1</w:t>
            </w:r>
          </w:p>
        </w:tc>
        <w:tc>
          <w:tcPr>
            <w:tcW w:w="1222" w:type="pct"/>
            <w:tcBorders>
              <w:top w:val="nil"/>
              <w:left w:val="nil"/>
              <w:bottom w:val="nil"/>
              <w:right w:val="nil"/>
            </w:tcBorders>
            <w:shd w:val="clear" w:color="000000" w:fill="FFFFFF"/>
            <w:noWrap/>
            <w:vAlign w:val="bottom"/>
            <w:hideMark/>
          </w:tcPr>
          <w:p w14:paraId="127DFEF0"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06AA0679"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4F60E9ED" w14:textId="77777777" w:rsidTr="00544EDC">
        <w:trPr>
          <w:trHeight w:val="388"/>
        </w:trPr>
        <w:tc>
          <w:tcPr>
            <w:tcW w:w="5000" w:type="pct"/>
            <w:gridSpan w:val="3"/>
            <w:tcBorders>
              <w:top w:val="nil"/>
              <w:left w:val="nil"/>
              <w:bottom w:val="nil"/>
              <w:right w:val="nil"/>
            </w:tcBorders>
            <w:shd w:val="clear" w:color="000000" w:fill="FFFFFF"/>
            <w:vAlign w:val="bottom"/>
            <w:hideMark/>
          </w:tcPr>
          <w:p w14:paraId="42D06289" w14:textId="77777777" w:rsidR="008270E3" w:rsidRPr="00187F15" w:rsidRDefault="008270E3" w:rsidP="00544EDC">
            <w:pPr>
              <w:rPr>
                <w:rFonts w:eastAsia="Times New Roman" w:cs="Arial"/>
                <w:sz w:val="24"/>
                <w:szCs w:val="24"/>
                <w:lang w:val="it-IT" w:eastAsia="it-CH"/>
              </w:rPr>
            </w:pPr>
            <w:r w:rsidRPr="00187F15">
              <w:rPr>
                <w:rFonts w:eastAsia="Times New Roman" w:cs="Arial"/>
                <w:sz w:val="24"/>
                <w:szCs w:val="24"/>
                <w:lang w:val="it-IT" w:eastAsia="it-CH"/>
              </w:rPr>
              <w:t>I ricavi e le spese per l’esercizio 2026 sono preventivati e autorizzati come ai seguenti bilanci preventivi (in franchi):</w:t>
            </w:r>
          </w:p>
        </w:tc>
      </w:tr>
      <w:tr w:rsidR="008270E3" w:rsidRPr="00187F15" w14:paraId="38F6F1FA" w14:textId="77777777" w:rsidTr="00544EDC">
        <w:trPr>
          <w:trHeight w:val="236"/>
        </w:trPr>
        <w:tc>
          <w:tcPr>
            <w:tcW w:w="2824" w:type="pct"/>
            <w:tcBorders>
              <w:top w:val="nil"/>
              <w:left w:val="nil"/>
              <w:bottom w:val="nil"/>
              <w:right w:val="nil"/>
            </w:tcBorders>
            <w:shd w:val="clear" w:color="000000" w:fill="FFFFFF"/>
            <w:noWrap/>
            <w:vAlign w:val="bottom"/>
            <w:hideMark/>
          </w:tcPr>
          <w:p w14:paraId="53FAFFDD"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1222" w:type="pct"/>
            <w:tcBorders>
              <w:top w:val="nil"/>
              <w:left w:val="nil"/>
              <w:bottom w:val="nil"/>
              <w:right w:val="nil"/>
            </w:tcBorders>
            <w:shd w:val="clear" w:color="000000" w:fill="FFFFFF"/>
            <w:noWrap/>
            <w:vAlign w:val="bottom"/>
            <w:hideMark/>
          </w:tcPr>
          <w:p w14:paraId="5F36A829"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4EDE15CB"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15EFA91F" w14:textId="77777777" w:rsidTr="00544EDC">
        <w:trPr>
          <w:trHeight w:val="315"/>
        </w:trPr>
        <w:tc>
          <w:tcPr>
            <w:tcW w:w="2824" w:type="pct"/>
            <w:tcBorders>
              <w:top w:val="nil"/>
              <w:left w:val="nil"/>
              <w:bottom w:val="nil"/>
              <w:right w:val="nil"/>
            </w:tcBorders>
            <w:shd w:val="clear" w:color="000000" w:fill="FFFFFF"/>
            <w:noWrap/>
            <w:vAlign w:val="bottom"/>
            <w:hideMark/>
          </w:tcPr>
          <w:p w14:paraId="74ADC681"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Conto economico</w:t>
            </w:r>
          </w:p>
        </w:tc>
        <w:tc>
          <w:tcPr>
            <w:tcW w:w="1222" w:type="pct"/>
            <w:tcBorders>
              <w:top w:val="nil"/>
              <w:left w:val="nil"/>
              <w:bottom w:val="nil"/>
              <w:right w:val="nil"/>
            </w:tcBorders>
            <w:shd w:val="clear" w:color="000000" w:fill="FFFFFF"/>
            <w:noWrap/>
            <w:vAlign w:val="bottom"/>
            <w:hideMark/>
          </w:tcPr>
          <w:p w14:paraId="49A53607"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62168B6C" w14:textId="77777777" w:rsidR="008270E3" w:rsidRPr="00187F15" w:rsidRDefault="008270E3" w:rsidP="00544EDC">
            <w:pPr>
              <w:jc w:val="righ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27950CF0" w14:textId="77777777" w:rsidTr="00544EDC">
        <w:trPr>
          <w:trHeight w:val="240"/>
        </w:trPr>
        <w:tc>
          <w:tcPr>
            <w:tcW w:w="2824" w:type="pct"/>
            <w:tcBorders>
              <w:top w:val="nil"/>
              <w:left w:val="nil"/>
              <w:bottom w:val="nil"/>
              <w:right w:val="nil"/>
            </w:tcBorders>
            <w:shd w:val="clear" w:color="000000" w:fill="FFFFFF"/>
            <w:noWrap/>
            <w:vAlign w:val="bottom"/>
            <w:hideMark/>
          </w:tcPr>
          <w:p w14:paraId="2637B98B"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1222" w:type="pct"/>
            <w:tcBorders>
              <w:top w:val="nil"/>
              <w:left w:val="nil"/>
              <w:bottom w:val="nil"/>
              <w:right w:val="nil"/>
            </w:tcBorders>
            <w:shd w:val="clear" w:color="000000" w:fill="FFFFFF"/>
            <w:noWrap/>
            <w:vAlign w:val="bottom"/>
            <w:hideMark/>
          </w:tcPr>
          <w:p w14:paraId="42D5D493" w14:textId="77777777" w:rsidR="008270E3" w:rsidRPr="00187F15" w:rsidRDefault="008270E3" w:rsidP="00544EDC">
            <w:pPr>
              <w:jc w:val="left"/>
              <w:rPr>
                <w:rFonts w:eastAsia="Times New Roman" w:cs="Arial"/>
                <w:sz w:val="24"/>
                <w:szCs w:val="24"/>
                <w:lang w:val="it-IT" w:eastAsia="it-CH"/>
              </w:rPr>
            </w:pPr>
          </w:p>
        </w:tc>
        <w:tc>
          <w:tcPr>
            <w:tcW w:w="954" w:type="pct"/>
            <w:tcBorders>
              <w:top w:val="nil"/>
              <w:left w:val="nil"/>
              <w:bottom w:val="nil"/>
              <w:right w:val="nil"/>
            </w:tcBorders>
            <w:shd w:val="clear" w:color="000000" w:fill="FFFFFF"/>
            <w:noWrap/>
            <w:vAlign w:val="bottom"/>
            <w:hideMark/>
          </w:tcPr>
          <w:p w14:paraId="2048E565"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68223D37" w14:textId="77777777" w:rsidTr="00544EDC">
        <w:trPr>
          <w:trHeight w:val="315"/>
        </w:trPr>
        <w:tc>
          <w:tcPr>
            <w:tcW w:w="2824" w:type="pct"/>
            <w:tcBorders>
              <w:top w:val="nil"/>
              <w:left w:val="nil"/>
              <w:bottom w:val="nil"/>
              <w:right w:val="nil"/>
            </w:tcBorders>
            <w:shd w:val="clear" w:color="000000" w:fill="FFFFFF"/>
            <w:noWrap/>
            <w:vAlign w:val="bottom"/>
            <w:hideMark/>
          </w:tcPr>
          <w:p w14:paraId="1C1E2456"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Totale spese</w:t>
            </w:r>
          </w:p>
        </w:tc>
        <w:tc>
          <w:tcPr>
            <w:tcW w:w="1222" w:type="pct"/>
            <w:tcBorders>
              <w:top w:val="nil"/>
              <w:left w:val="nil"/>
              <w:bottom w:val="nil"/>
              <w:right w:val="single" w:sz="4" w:space="0" w:color="808080"/>
            </w:tcBorders>
            <w:shd w:val="clear" w:color="000000" w:fill="FFFFFF"/>
            <w:noWrap/>
            <w:hideMark/>
          </w:tcPr>
          <w:p w14:paraId="4B64C637" w14:textId="77777777" w:rsidR="008270E3" w:rsidRPr="00187F15" w:rsidRDefault="008270E3" w:rsidP="00544EDC">
            <w:pPr>
              <w:jc w:val="right"/>
              <w:rPr>
                <w:rFonts w:eastAsia="Times New Roman" w:cs="Arial"/>
                <w:sz w:val="24"/>
                <w:szCs w:val="24"/>
                <w:lang w:val="it-IT"/>
              </w:rPr>
            </w:pPr>
            <w:r w:rsidRPr="00187F15">
              <w:rPr>
                <w:rFonts w:eastAsia="Times New Roman" w:cs="Arial"/>
                <w:sz w:val="24"/>
                <w:szCs w:val="24"/>
                <w:lang w:val="it-IT"/>
              </w:rPr>
              <w:t>4'617'226'900</w:t>
            </w:r>
          </w:p>
        </w:tc>
        <w:tc>
          <w:tcPr>
            <w:tcW w:w="954" w:type="pct"/>
            <w:tcBorders>
              <w:top w:val="nil"/>
              <w:left w:val="nil"/>
              <w:bottom w:val="nil"/>
              <w:right w:val="single" w:sz="4" w:space="0" w:color="808080"/>
            </w:tcBorders>
            <w:shd w:val="clear" w:color="000000" w:fill="FFFFFF"/>
            <w:noWrap/>
            <w:vAlign w:val="bottom"/>
            <w:hideMark/>
          </w:tcPr>
          <w:p w14:paraId="7415170D"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rPr>
              <w:t> </w:t>
            </w:r>
          </w:p>
        </w:tc>
      </w:tr>
      <w:tr w:rsidR="008270E3" w:rsidRPr="00187F15" w14:paraId="17B4ACE7" w14:textId="77777777" w:rsidTr="00544EDC">
        <w:trPr>
          <w:trHeight w:val="315"/>
        </w:trPr>
        <w:tc>
          <w:tcPr>
            <w:tcW w:w="2824" w:type="pct"/>
            <w:tcBorders>
              <w:top w:val="nil"/>
              <w:left w:val="nil"/>
              <w:bottom w:val="nil"/>
              <w:right w:val="nil"/>
            </w:tcBorders>
            <w:shd w:val="clear" w:color="000000" w:fill="FFFFFF"/>
            <w:noWrap/>
            <w:vAlign w:val="bottom"/>
            <w:hideMark/>
          </w:tcPr>
          <w:p w14:paraId="04934B9D"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Totale ricavi</w:t>
            </w:r>
          </w:p>
        </w:tc>
        <w:tc>
          <w:tcPr>
            <w:tcW w:w="1222" w:type="pct"/>
            <w:tcBorders>
              <w:top w:val="nil"/>
              <w:left w:val="nil"/>
              <w:bottom w:val="single" w:sz="4" w:space="0" w:color="808080"/>
              <w:right w:val="single" w:sz="4" w:space="0" w:color="808080"/>
            </w:tcBorders>
            <w:shd w:val="clear" w:color="000000" w:fill="FFFFFF"/>
            <w:noWrap/>
            <w:hideMark/>
          </w:tcPr>
          <w:p w14:paraId="21C87757" w14:textId="77777777" w:rsidR="008270E3" w:rsidRPr="00187F15" w:rsidRDefault="008270E3" w:rsidP="00544EDC">
            <w:pPr>
              <w:jc w:val="right"/>
              <w:rPr>
                <w:rFonts w:eastAsia="Times New Roman" w:cs="Arial"/>
                <w:sz w:val="24"/>
                <w:szCs w:val="24"/>
                <w:lang w:val="it-IT"/>
              </w:rPr>
            </w:pPr>
            <w:r w:rsidRPr="00187F15">
              <w:rPr>
                <w:rFonts w:eastAsia="Times New Roman" w:cs="Arial"/>
                <w:sz w:val="24"/>
                <w:szCs w:val="24"/>
                <w:lang w:val="it-IT"/>
              </w:rPr>
              <w:t>4'514'822'500</w:t>
            </w:r>
          </w:p>
        </w:tc>
        <w:tc>
          <w:tcPr>
            <w:tcW w:w="954" w:type="pct"/>
            <w:tcBorders>
              <w:top w:val="nil"/>
              <w:left w:val="nil"/>
              <w:bottom w:val="single" w:sz="4" w:space="0" w:color="808080"/>
              <w:right w:val="single" w:sz="4" w:space="0" w:color="808080"/>
            </w:tcBorders>
            <w:shd w:val="clear" w:color="000000" w:fill="FFFFFF"/>
            <w:noWrap/>
            <w:vAlign w:val="bottom"/>
            <w:hideMark/>
          </w:tcPr>
          <w:p w14:paraId="22970C04"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rPr>
              <w:t> </w:t>
            </w:r>
          </w:p>
        </w:tc>
      </w:tr>
      <w:tr w:rsidR="008270E3" w:rsidRPr="00187F15" w14:paraId="6ED6918F" w14:textId="77777777" w:rsidTr="00544EDC">
        <w:trPr>
          <w:trHeight w:val="450"/>
        </w:trPr>
        <w:tc>
          <w:tcPr>
            <w:tcW w:w="2824" w:type="pct"/>
            <w:tcBorders>
              <w:top w:val="single" w:sz="4" w:space="0" w:color="808080"/>
              <w:left w:val="nil"/>
              <w:bottom w:val="single" w:sz="4" w:space="0" w:color="808080"/>
              <w:right w:val="nil"/>
            </w:tcBorders>
            <w:shd w:val="clear" w:color="000000" w:fill="FFFFFF"/>
            <w:noWrap/>
            <w:vAlign w:val="bottom"/>
            <w:hideMark/>
          </w:tcPr>
          <w:p w14:paraId="0959DD48"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Risultato d'esercizio</w:t>
            </w:r>
          </w:p>
        </w:tc>
        <w:tc>
          <w:tcPr>
            <w:tcW w:w="1222" w:type="pct"/>
            <w:tcBorders>
              <w:top w:val="nil"/>
              <w:left w:val="nil"/>
              <w:bottom w:val="single" w:sz="4" w:space="0" w:color="808080"/>
              <w:right w:val="single" w:sz="4" w:space="0" w:color="808080"/>
            </w:tcBorders>
            <w:shd w:val="clear" w:color="000000" w:fill="FFFFFF"/>
            <w:noWrap/>
            <w:vAlign w:val="bottom"/>
            <w:hideMark/>
          </w:tcPr>
          <w:p w14:paraId="578AD1F2"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rPr>
              <w:t> </w:t>
            </w:r>
          </w:p>
        </w:tc>
        <w:tc>
          <w:tcPr>
            <w:tcW w:w="954" w:type="pct"/>
            <w:tcBorders>
              <w:top w:val="nil"/>
              <w:left w:val="nil"/>
              <w:bottom w:val="single" w:sz="4" w:space="0" w:color="808080"/>
              <w:right w:val="single" w:sz="4" w:space="0" w:color="808080"/>
            </w:tcBorders>
            <w:shd w:val="clear" w:color="000000" w:fill="FFFFFF"/>
            <w:noWrap/>
            <w:vAlign w:val="bottom"/>
            <w:hideMark/>
          </w:tcPr>
          <w:p w14:paraId="03A51300" w14:textId="77777777" w:rsidR="008270E3" w:rsidRPr="00187F15" w:rsidRDefault="008270E3" w:rsidP="00544EDC">
            <w:pPr>
              <w:jc w:val="right"/>
              <w:rPr>
                <w:rFonts w:eastAsia="Times New Roman" w:cs="Arial"/>
                <w:b/>
                <w:sz w:val="24"/>
                <w:szCs w:val="24"/>
                <w:lang w:val="it-IT" w:eastAsia="it-CH"/>
              </w:rPr>
            </w:pPr>
            <w:r w:rsidRPr="00187F15">
              <w:rPr>
                <w:rFonts w:eastAsia="Times New Roman" w:cs="Arial"/>
                <w:b/>
                <w:bCs/>
                <w:sz w:val="24"/>
                <w:szCs w:val="24"/>
                <w:lang w:val="it-IT"/>
              </w:rPr>
              <w:t>- 102'404'400</w:t>
            </w:r>
          </w:p>
        </w:tc>
      </w:tr>
      <w:tr w:rsidR="008270E3" w:rsidRPr="00187F15" w14:paraId="4B71CF47" w14:textId="77777777" w:rsidTr="00544EDC">
        <w:trPr>
          <w:trHeight w:val="315"/>
        </w:trPr>
        <w:tc>
          <w:tcPr>
            <w:tcW w:w="2824" w:type="pct"/>
            <w:tcBorders>
              <w:top w:val="nil"/>
              <w:left w:val="nil"/>
              <w:bottom w:val="nil"/>
              <w:right w:val="nil"/>
            </w:tcBorders>
            <w:shd w:val="clear" w:color="000000" w:fill="FFFFFF"/>
            <w:noWrap/>
            <w:vAlign w:val="bottom"/>
            <w:hideMark/>
          </w:tcPr>
          <w:p w14:paraId="389AFB62"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1222" w:type="pct"/>
            <w:tcBorders>
              <w:top w:val="nil"/>
              <w:left w:val="nil"/>
              <w:bottom w:val="nil"/>
              <w:right w:val="nil"/>
            </w:tcBorders>
            <w:shd w:val="clear" w:color="000000" w:fill="FFFFFF"/>
            <w:noWrap/>
            <w:vAlign w:val="bottom"/>
            <w:hideMark/>
          </w:tcPr>
          <w:p w14:paraId="2CAAAFC0"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2B2527BA"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57A8C95D" w14:textId="77777777" w:rsidTr="00544EDC">
        <w:trPr>
          <w:trHeight w:val="315"/>
        </w:trPr>
        <w:tc>
          <w:tcPr>
            <w:tcW w:w="2824" w:type="pct"/>
            <w:tcBorders>
              <w:top w:val="nil"/>
              <w:left w:val="nil"/>
              <w:bottom w:val="nil"/>
              <w:right w:val="nil"/>
            </w:tcBorders>
            <w:shd w:val="clear" w:color="000000" w:fill="FFFFFF"/>
            <w:noWrap/>
            <w:vAlign w:val="bottom"/>
            <w:hideMark/>
          </w:tcPr>
          <w:p w14:paraId="6829C649"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Conto degli investimenti</w:t>
            </w:r>
          </w:p>
        </w:tc>
        <w:tc>
          <w:tcPr>
            <w:tcW w:w="1222" w:type="pct"/>
            <w:tcBorders>
              <w:top w:val="nil"/>
              <w:left w:val="nil"/>
              <w:bottom w:val="nil"/>
              <w:right w:val="nil"/>
            </w:tcBorders>
            <w:shd w:val="clear" w:color="000000" w:fill="FFFFFF"/>
            <w:noWrap/>
            <w:vAlign w:val="bottom"/>
            <w:hideMark/>
          </w:tcPr>
          <w:p w14:paraId="25A8C326"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56536078"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428FEAF0" w14:textId="77777777" w:rsidTr="00544EDC">
        <w:trPr>
          <w:trHeight w:val="240"/>
        </w:trPr>
        <w:tc>
          <w:tcPr>
            <w:tcW w:w="2824" w:type="pct"/>
            <w:tcBorders>
              <w:top w:val="nil"/>
              <w:left w:val="nil"/>
              <w:bottom w:val="nil"/>
              <w:right w:val="nil"/>
            </w:tcBorders>
            <w:shd w:val="clear" w:color="000000" w:fill="FFFFFF"/>
            <w:noWrap/>
            <w:vAlign w:val="bottom"/>
            <w:hideMark/>
          </w:tcPr>
          <w:p w14:paraId="0141D299"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1222" w:type="pct"/>
            <w:tcBorders>
              <w:top w:val="nil"/>
              <w:left w:val="nil"/>
              <w:bottom w:val="nil"/>
              <w:right w:val="nil"/>
            </w:tcBorders>
            <w:shd w:val="clear" w:color="000000" w:fill="FFFFFF"/>
            <w:noWrap/>
            <w:vAlign w:val="bottom"/>
            <w:hideMark/>
          </w:tcPr>
          <w:p w14:paraId="5538FAF1"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05FFD4B6"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337904EA" w14:textId="77777777" w:rsidTr="00544EDC">
        <w:trPr>
          <w:trHeight w:val="315"/>
        </w:trPr>
        <w:tc>
          <w:tcPr>
            <w:tcW w:w="2824" w:type="pct"/>
            <w:tcBorders>
              <w:top w:val="nil"/>
              <w:left w:val="nil"/>
              <w:bottom w:val="nil"/>
              <w:right w:val="nil"/>
            </w:tcBorders>
            <w:shd w:val="clear" w:color="000000" w:fill="FFFFFF"/>
            <w:noWrap/>
            <w:vAlign w:val="bottom"/>
            <w:hideMark/>
          </w:tcPr>
          <w:p w14:paraId="2634C218"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Uscite per investimenti</w:t>
            </w:r>
          </w:p>
        </w:tc>
        <w:tc>
          <w:tcPr>
            <w:tcW w:w="1222" w:type="pct"/>
            <w:tcBorders>
              <w:top w:val="nil"/>
              <w:left w:val="nil"/>
              <w:bottom w:val="nil"/>
              <w:right w:val="single" w:sz="4" w:space="0" w:color="808080"/>
            </w:tcBorders>
            <w:shd w:val="clear" w:color="000000" w:fill="FFFFFF"/>
            <w:noWrap/>
            <w:hideMark/>
          </w:tcPr>
          <w:p w14:paraId="5106E271" w14:textId="77777777" w:rsidR="008270E3" w:rsidRPr="00187F15" w:rsidRDefault="008270E3" w:rsidP="00544EDC">
            <w:pPr>
              <w:jc w:val="right"/>
              <w:rPr>
                <w:rFonts w:eastAsia="Times New Roman" w:cs="Arial"/>
                <w:sz w:val="24"/>
                <w:szCs w:val="24"/>
                <w:lang w:val="it-IT"/>
              </w:rPr>
            </w:pPr>
            <w:r w:rsidRPr="00187F15">
              <w:rPr>
                <w:rFonts w:eastAsia="Times New Roman" w:cs="Arial"/>
                <w:sz w:val="24"/>
                <w:szCs w:val="24"/>
                <w:lang w:val="it-IT"/>
              </w:rPr>
              <w:t>447'345'500</w:t>
            </w:r>
          </w:p>
        </w:tc>
        <w:tc>
          <w:tcPr>
            <w:tcW w:w="954" w:type="pct"/>
            <w:tcBorders>
              <w:top w:val="nil"/>
              <w:left w:val="nil"/>
              <w:bottom w:val="nil"/>
              <w:right w:val="single" w:sz="4" w:space="0" w:color="808080"/>
            </w:tcBorders>
            <w:shd w:val="clear" w:color="000000" w:fill="FFFFFF"/>
            <w:noWrap/>
            <w:vAlign w:val="bottom"/>
            <w:hideMark/>
          </w:tcPr>
          <w:p w14:paraId="1029ED15"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rPr>
              <w:t> </w:t>
            </w:r>
          </w:p>
        </w:tc>
      </w:tr>
      <w:tr w:rsidR="008270E3" w:rsidRPr="00187F15" w14:paraId="280DFD5C" w14:textId="77777777" w:rsidTr="00544EDC">
        <w:trPr>
          <w:trHeight w:val="315"/>
        </w:trPr>
        <w:tc>
          <w:tcPr>
            <w:tcW w:w="2824" w:type="pct"/>
            <w:tcBorders>
              <w:top w:val="nil"/>
              <w:left w:val="nil"/>
              <w:bottom w:val="nil"/>
              <w:right w:val="nil"/>
            </w:tcBorders>
            <w:shd w:val="clear" w:color="000000" w:fill="FFFFFF"/>
            <w:noWrap/>
            <w:vAlign w:val="bottom"/>
            <w:hideMark/>
          </w:tcPr>
          <w:p w14:paraId="44BE4705"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Entrate per investimenti</w:t>
            </w:r>
          </w:p>
        </w:tc>
        <w:tc>
          <w:tcPr>
            <w:tcW w:w="1222" w:type="pct"/>
            <w:tcBorders>
              <w:top w:val="nil"/>
              <w:left w:val="nil"/>
              <w:bottom w:val="nil"/>
              <w:right w:val="single" w:sz="4" w:space="0" w:color="808080"/>
            </w:tcBorders>
            <w:shd w:val="clear" w:color="000000" w:fill="FFFFFF"/>
            <w:noWrap/>
            <w:hideMark/>
          </w:tcPr>
          <w:p w14:paraId="52B765A1" w14:textId="77777777" w:rsidR="008270E3" w:rsidRPr="00187F15" w:rsidRDefault="008270E3" w:rsidP="00544EDC">
            <w:pPr>
              <w:jc w:val="right"/>
              <w:rPr>
                <w:rFonts w:eastAsia="Times New Roman" w:cs="Arial"/>
                <w:sz w:val="24"/>
                <w:szCs w:val="24"/>
                <w:lang w:val="it-IT"/>
              </w:rPr>
            </w:pPr>
            <w:r w:rsidRPr="00187F15">
              <w:rPr>
                <w:rFonts w:eastAsia="Times New Roman" w:cs="Arial"/>
                <w:sz w:val="24"/>
                <w:szCs w:val="24"/>
                <w:lang w:val="it-IT"/>
              </w:rPr>
              <w:t>157'345'500</w:t>
            </w:r>
          </w:p>
        </w:tc>
        <w:tc>
          <w:tcPr>
            <w:tcW w:w="954" w:type="pct"/>
            <w:tcBorders>
              <w:top w:val="nil"/>
              <w:left w:val="nil"/>
              <w:bottom w:val="nil"/>
              <w:right w:val="single" w:sz="4" w:space="0" w:color="808080"/>
            </w:tcBorders>
            <w:shd w:val="clear" w:color="000000" w:fill="FFFFFF"/>
            <w:noWrap/>
            <w:vAlign w:val="bottom"/>
            <w:hideMark/>
          </w:tcPr>
          <w:p w14:paraId="60C2B105"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rPr>
              <w:t> </w:t>
            </w:r>
          </w:p>
        </w:tc>
      </w:tr>
      <w:tr w:rsidR="008270E3" w:rsidRPr="00187F15" w14:paraId="2CDA1EBC" w14:textId="77777777" w:rsidTr="00544EDC">
        <w:trPr>
          <w:trHeight w:val="450"/>
        </w:trPr>
        <w:tc>
          <w:tcPr>
            <w:tcW w:w="2824" w:type="pct"/>
            <w:tcBorders>
              <w:top w:val="single" w:sz="4" w:space="0" w:color="808080"/>
              <w:left w:val="nil"/>
              <w:bottom w:val="single" w:sz="4" w:space="0" w:color="808080"/>
              <w:right w:val="nil"/>
            </w:tcBorders>
            <w:shd w:val="clear" w:color="000000" w:fill="FFFFFF"/>
            <w:noWrap/>
            <w:vAlign w:val="bottom"/>
            <w:hideMark/>
          </w:tcPr>
          <w:p w14:paraId="3BBD8585"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Investimenti netti</w:t>
            </w:r>
          </w:p>
        </w:tc>
        <w:tc>
          <w:tcPr>
            <w:tcW w:w="1222" w:type="pct"/>
            <w:tcBorders>
              <w:top w:val="single" w:sz="4" w:space="0" w:color="808080"/>
              <w:left w:val="nil"/>
              <w:bottom w:val="single" w:sz="4" w:space="0" w:color="808080"/>
              <w:right w:val="single" w:sz="4" w:space="0" w:color="808080"/>
            </w:tcBorders>
            <w:shd w:val="clear" w:color="000000" w:fill="FFFFFF"/>
            <w:noWrap/>
            <w:vAlign w:val="bottom"/>
            <w:hideMark/>
          </w:tcPr>
          <w:p w14:paraId="70B803A6"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rPr>
              <w:t> </w:t>
            </w:r>
          </w:p>
        </w:tc>
        <w:tc>
          <w:tcPr>
            <w:tcW w:w="954" w:type="pct"/>
            <w:tcBorders>
              <w:top w:val="single" w:sz="4" w:space="0" w:color="808080"/>
              <w:left w:val="nil"/>
              <w:bottom w:val="single" w:sz="4" w:space="0" w:color="808080"/>
              <w:right w:val="single" w:sz="4" w:space="0" w:color="808080"/>
            </w:tcBorders>
            <w:shd w:val="clear" w:color="000000" w:fill="FFFFFF"/>
            <w:noWrap/>
            <w:vAlign w:val="bottom"/>
            <w:hideMark/>
          </w:tcPr>
          <w:p w14:paraId="5E70EA51" w14:textId="77777777" w:rsidR="008270E3" w:rsidRPr="00187F15" w:rsidRDefault="008270E3" w:rsidP="00544EDC">
            <w:pPr>
              <w:jc w:val="right"/>
              <w:rPr>
                <w:rFonts w:eastAsia="Times New Roman" w:cs="Arial"/>
                <w:b/>
                <w:sz w:val="24"/>
                <w:szCs w:val="24"/>
                <w:lang w:val="it-IT" w:eastAsia="it-CH"/>
              </w:rPr>
            </w:pPr>
            <w:r w:rsidRPr="00187F15">
              <w:rPr>
                <w:rFonts w:eastAsia="Times New Roman" w:cs="Arial"/>
                <w:b/>
                <w:bCs/>
                <w:sz w:val="24"/>
                <w:szCs w:val="24"/>
                <w:lang w:val="it-IT"/>
              </w:rPr>
              <w:t>290'000'000</w:t>
            </w:r>
          </w:p>
        </w:tc>
      </w:tr>
      <w:tr w:rsidR="008270E3" w:rsidRPr="00187F15" w14:paraId="3E636831" w14:textId="77777777" w:rsidTr="00544EDC">
        <w:trPr>
          <w:trHeight w:val="315"/>
        </w:trPr>
        <w:tc>
          <w:tcPr>
            <w:tcW w:w="2824" w:type="pct"/>
            <w:tcBorders>
              <w:top w:val="nil"/>
              <w:left w:val="nil"/>
              <w:bottom w:val="nil"/>
              <w:right w:val="nil"/>
            </w:tcBorders>
            <w:shd w:val="clear" w:color="000000" w:fill="FFFFFF"/>
            <w:noWrap/>
            <w:vAlign w:val="bottom"/>
            <w:hideMark/>
          </w:tcPr>
          <w:p w14:paraId="46D9EF0F"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1222" w:type="pct"/>
            <w:tcBorders>
              <w:top w:val="nil"/>
              <w:left w:val="nil"/>
              <w:bottom w:val="nil"/>
              <w:right w:val="nil"/>
            </w:tcBorders>
            <w:shd w:val="clear" w:color="000000" w:fill="FFFFFF"/>
            <w:noWrap/>
            <w:vAlign w:val="bottom"/>
            <w:hideMark/>
          </w:tcPr>
          <w:p w14:paraId="31B4E758"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041BED18"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0592B148" w14:textId="77777777" w:rsidTr="00544EDC">
        <w:trPr>
          <w:trHeight w:val="315"/>
        </w:trPr>
        <w:tc>
          <w:tcPr>
            <w:tcW w:w="2824" w:type="pct"/>
            <w:tcBorders>
              <w:top w:val="nil"/>
              <w:left w:val="nil"/>
              <w:bottom w:val="nil"/>
              <w:right w:val="nil"/>
            </w:tcBorders>
            <w:shd w:val="clear" w:color="000000" w:fill="FFFFFF"/>
            <w:noWrap/>
            <w:vAlign w:val="bottom"/>
            <w:hideMark/>
          </w:tcPr>
          <w:p w14:paraId="06A0FBAB"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Conto di chiusura</w:t>
            </w:r>
          </w:p>
        </w:tc>
        <w:tc>
          <w:tcPr>
            <w:tcW w:w="1222" w:type="pct"/>
            <w:tcBorders>
              <w:top w:val="nil"/>
              <w:left w:val="nil"/>
              <w:bottom w:val="nil"/>
              <w:right w:val="nil"/>
            </w:tcBorders>
            <w:shd w:val="clear" w:color="000000" w:fill="FFFFFF"/>
            <w:noWrap/>
            <w:vAlign w:val="bottom"/>
            <w:hideMark/>
          </w:tcPr>
          <w:p w14:paraId="68E376C2"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794FCDAF"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1621D0FD" w14:textId="77777777" w:rsidTr="00544EDC">
        <w:trPr>
          <w:trHeight w:val="240"/>
        </w:trPr>
        <w:tc>
          <w:tcPr>
            <w:tcW w:w="2824" w:type="pct"/>
            <w:tcBorders>
              <w:top w:val="nil"/>
              <w:left w:val="nil"/>
              <w:bottom w:val="nil"/>
              <w:right w:val="nil"/>
            </w:tcBorders>
            <w:shd w:val="clear" w:color="000000" w:fill="FFFFFF"/>
            <w:noWrap/>
            <w:vAlign w:val="bottom"/>
            <w:hideMark/>
          </w:tcPr>
          <w:p w14:paraId="67A7D0A0"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1222" w:type="pct"/>
            <w:tcBorders>
              <w:top w:val="nil"/>
              <w:left w:val="nil"/>
              <w:bottom w:val="nil"/>
              <w:right w:val="nil"/>
            </w:tcBorders>
            <w:shd w:val="clear" w:color="000000" w:fill="FFFFFF"/>
            <w:noWrap/>
            <w:vAlign w:val="bottom"/>
            <w:hideMark/>
          </w:tcPr>
          <w:p w14:paraId="2BFB702E"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680B5752"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r>
      <w:tr w:rsidR="008270E3" w:rsidRPr="00187F15" w14:paraId="5A21D48B" w14:textId="77777777" w:rsidTr="00544EDC">
        <w:trPr>
          <w:trHeight w:val="315"/>
        </w:trPr>
        <w:tc>
          <w:tcPr>
            <w:tcW w:w="2824" w:type="pct"/>
            <w:tcBorders>
              <w:top w:val="nil"/>
              <w:left w:val="nil"/>
              <w:bottom w:val="nil"/>
              <w:right w:val="nil"/>
            </w:tcBorders>
            <w:shd w:val="clear" w:color="000000" w:fill="FFFFFF"/>
            <w:noWrap/>
            <w:vAlign w:val="bottom"/>
            <w:hideMark/>
          </w:tcPr>
          <w:p w14:paraId="2A5B387A"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Investimenti netti</w:t>
            </w:r>
          </w:p>
        </w:tc>
        <w:tc>
          <w:tcPr>
            <w:tcW w:w="1222" w:type="pct"/>
            <w:tcBorders>
              <w:top w:val="nil"/>
              <w:left w:val="nil"/>
              <w:bottom w:val="nil"/>
              <w:right w:val="single" w:sz="4" w:space="0" w:color="808080"/>
            </w:tcBorders>
            <w:shd w:val="clear" w:color="000000" w:fill="FFFFFF"/>
            <w:noWrap/>
            <w:vAlign w:val="bottom"/>
            <w:hideMark/>
          </w:tcPr>
          <w:p w14:paraId="08926D80"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single" w:sz="4" w:space="0" w:color="808080"/>
            </w:tcBorders>
            <w:shd w:val="clear" w:color="000000" w:fill="FFFFFF"/>
            <w:noWrap/>
            <w:vAlign w:val="bottom"/>
            <w:hideMark/>
          </w:tcPr>
          <w:p w14:paraId="747F7E6B" w14:textId="77777777" w:rsidR="008270E3" w:rsidRPr="00187F15" w:rsidRDefault="008270E3" w:rsidP="00544EDC">
            <w:pPr>
              <w:jc w:val="right"/>
              <w:rPr>
                <w:rFonts w:eastAsia="Times New Roman" w:cs="Arial"/>
                <w:b/>
                <w:sz w:val="24"/>
                <w:szCs w:val="24"/>
                <w:lang w:val="it-IT" w:eastAsia="it-CH"/>
              </w:rPr>
            </w:pPr>
            <w:r w:rsidRPr="00187F15">
              <w:rPr>
                <w:rFonts w:eastAsia="Times New Roman" w:cs="Arial"/>
                <w:b/>
                <w:bCs/>
                <w:sz w:val="24"/>
                <w:szCs w:val="24"/>
                <w:lang w:val="it-IT"/>
              </w:rPr>
              <w:t>290'000'000</w:t>
            </w:r>
          </w:p>
        </w:tc>
      </w:tr>
      <w:tr w:rsidR="008270E3" w:rsidRPr="00187F15" w14:paraId="67FC6C25" w14:textId="77777777" w:rsidTr="00544EDC">
        <w:trPr>
          <w:trHeight w:val="315"/>
        </w:trPr>
        <w:tc>
          <w:tcPr>
            <w:tcW w:w="2824" w:type="pct"/>
            <w:tcBorders>
              <w:top w:val="nil"/>
              <w:left w:val="nil"/>
              <w:bottom w:val="nil"/>
              <w:right w:val="nil"/>
            </w:tcBorders>
            <w:shd w:val="clear" w:color="000000" w:fill="FFFFFF"/>
            <w:noWrap/>
            <w:vAlign w:val="bottom"/>
            <w:hideMark/>
          </w:tcPr>
          <w:p w14:paraId="5EE3B422"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Autofinanziamento</w:t>
            </w:r>
          </w:p>
        </w:tc>
        <w:tc>
          <w:tcPr>
            <w:tcW w:w="1222" w:type="pct"/>
            <w:tcBorders>
              <w:top w:val="nil"/>
              <w:left w:val="nil"/>
              <w:bottom w:val="nil"/>
              <w:right w:val="single" w:sz="4" w:space="0" w:color="808080"/>
            </w:tcBorders>
            <w:shd w:val="clear" w:color="000000" w:fill="FFFFFF"/>
            <w:noWrap/>
            <w:vAlign w:val="bottom"/>
            <w:hideMark/>
          </w:tcPr>
          <w:p w14:paraId="60825BCF"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single" w:sz="4" w:space="0" w:color="808080"/>
            </w:tcBorders>
            <w:shd w:val="clear" w:color="000000" w:fill="FFFFFF"/>
            <w:noWrap/>
            <w:vAlign w:val="bottom"/>
            <w:hideMark/>
          </w:tcPr>
          <w:p w14:paraId="0408FDC7" w14:textId="77777777" w:rsidR="008270E3" w:rsidRPr="00187F15" w:rsidRDefault="008270E3" w:rsidP="00544EDC">
            <w:pPr>
              <w:jc w:val="right"/>
              <w:rPr>
                <w:rFonts w:eastAsia="Times New Roman" w:cs="Arial"/>
                <w:b/>
                <w:sz w:val="24"/>
                <w:szCs w:val="24"/>
                <w:lang w:val="it-IT" w:eastAsia="it-CH"/>
              </w:rPr>
            </w:pPr>
            <w:r w:rsidRPr="00187F15">
              <w:rPr>
                <w:rFonts w:eastAsia="Times New Roman" w:cs="Arial"/>
                <w:b/>
                <w:bCs/>
                <w:sz w:val="24"/>
                <w:szCs w:val="24"/>
                <w:lang w:val="it-IT"/>
              </w:rPr>
              <w:t>128'968’700</w:t>
            </w:r>
          </w:p>
        </w:tc>
      </w:tr>
      <w:tr w:rsidR="008270E3" w:rsidRPr="00187F15" w14:paraId="611E8E9D" w14:textId="77777777" w:rsidTr="00544EDC">
        <w:trPr>
          <w:trHeight w:val="450"/>
        </w:trPr>
        <w:tc>
          <w:tcPr>
            <w:tcW w:w="2824" w:type="pct"/>
            <w:tcBorders>
              <w:top w:val="single" w:sz="4" w:space="0" w:color="808080"/>
              <w:left w:val="nil"/>
              <w:bottom w:val="single" w:sz="4" w:space="0" w:color="808080"/>
              <w:right w:val="nil"/>
            </w:tcBorders>
            <w:shd w:val="clear" w:color="000000" w:fill="FFFFFF"/>
            <w:noWrap/>
            <w:vAlign w:val="bottom"/>
            <w:hideMark/>
          </w:tcPr>
          <w:p w14:paraId="59CDB1C3"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Risultato totale</w:t>
            </w:r>
          </w:p>
        </w:tc>
        <w:tc>
          <w:tcPr>
            <w:tcW w:w="1222" w:type="pct"/>
            <w:tcBorders>
              <w:top w:val="single" w:sz="4" w:space="0" w:color="808080"/>
              <w:left w:val="nil"/>
              <w:bottom w:val="single" w:sz="4" w:space="0" w:color="808080"/>
              <w:right w:val="single" w:sz="4" w:space="0" w:color="808080"/>
            </w:tcBorders>
            <w:shd w:val="clear" w:color="000000" w:fill="FFFFFF"/>
            <w:noWrap/>
            <w:vAlign w:val="bottom"/>
            <w:hideMark/>
          </w:tcPr>
          <w:p w14:paraId="43297C60"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single" w:sz="4" w:space="0" w:color="808080"/>
              <w:left w:val="nil"/>
              <w:bottom w:val="single" w:sz="4" w:space="0" w:color="808080"/>
              <w:right w:val="single" w:sz="4" w:space="0" w:color="808080"/>
            </w:tcBorders>
            <w:shd w:val="clear" w:color="000000" w:fill="FFFFFF"/>
            <w:noWrap/>
            <w:vAlign w:val="bottom"/>
            <w:hideMark/>
          </w:tcPr>
          <w:p w14:paraId="2995565A" w14:textId="77777777" w:rsidR="008270E3" w:rsidRPr="00187F15" w:rsidRDefault="008270E3" w:rsidP="00544EDC">
            <w:pPr>
              <w:jc w:val="right"/>
              <w:rPr>
                <w:rFonts w:eastAsia="Times New Roman" w:cs="Arial"/>
                <w:b/>
                <w:sz w:val="24"/>
                <w:szCs w:val="24"/>
                <w:lang w:val="it-IT" w:eastAsia="it-CH"/>
              </w:rPr>
            </w:pPr>
            <w:r w:rsidRPr="00187F15">
              <w:rPr>
                <w:rFonts w:eastAsia="Times New Roman" w:cs="Arial"/>
                <w:b/>
                <w:bCs/>
                <w:sz w:val="24"/>
                <w:szCs w:val="24"/>
                <w:lang w:val="it-IT"/>
              </w:rPr>
              <w:t>- 161'031'300</w:t>
            </w:r>
          </w:p>
        </w:tc>
      </w:tr>
      <w:tr w:rsidR="008270E3" w:rsidRPr="00187F15" w14:paraId="5A11FB23" w14:textId="77777777" w:rsidTr="00544EDC">
        <w:trPr>
          <w:trHeight w:val="265"/>
        </w:trPr>
        <w:tc>
          <w:tcPr>
            <w:tcW w:w="2824" w:type="pct"/>
            <w:tcBorders>
              <w:top w:val="nil"/>
              <w:left w:val="nil"/>
              <w:bottom w:val="nil"/>
              <w:right w:val="nil"/>
            </w:tcBorders>
            <w:shd w:val="clear" w:color="000000" w:fill="FFFFFF"/>
            <w:noWrap/>
            <w:vAlign w:val="bottom"/>
            <w:hideMark/>
          </w:tcPr>
          <w:p w14:paraId="6C5207A8"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 </w:t>
            </w:r>
          </w:p>
        </w:tc>
        <w:tc>
          <w:tcPr>
            <w:tcW w:w="1222" w:type="pct"/>
            <w:tcBorders>
              <w:top w:val="nil"/>
              <w:left w:val="nil"/>
              <w:bottom w:val="nil"/>
              <w:right w:val="nil"/>
            </w:tcBorders>
            <w:shd w:val="clear" w:color="000000" w:fill="FFFFFF"/>
            <w:noWrap/>
            <w:vAlign w:val="bottom"/>
            <w:hideMark/>
          </w:tcPr>
          <w:p w14:paraId="21FCA414" w14:textId="77777777" w:rsidR="008270E3" w:rsidRPr="00187F15" w:rsidRDefault="008270E3" w:rsidP="00544EDC">
            <w:pPr>
              <w:jc w:val="left"/>
              <w:rPr>
                <w:rFonts w:eastAsia="Times New Roman" w:cs="Arial"/>
                <w:sz w:val="24"/>
                <w:szCs w:val="24"/>
                <w:lang w:val="it-IT" w:eastAsia="it-CH"/>
              </w:rPr>
            </w:pPr>
            <w:r w:rsidRPr="00187F15">
              <w:rPr>
                <w:rFonts w:eastAsia="Times New Roman" w:cs="Arial"/>
                <w:sz w:val="24"/>
                <w:szCs w:val="24"/>
                <w:lang w:val="it-IT" w:eastAsia="it-CH"/>
              </w:rPr>
              <w:t> </w:t>
            </w:r>
          </w:p>
        </w:tc>
        <w:tc>
          <w:tcPr>
            <w:tcW w:w="954" w:type="pct"/>
            <w:tcBorders>
              <w:top w:val="nil"/>
              <w:left w:val="nil"/>
              <w:bottom w:val="nil"/>
              <w:right w:val="nil"/>
            </w:tcBorders>
            <w:shd w:val="clear" w:color="000000" w:fill="FFFFFF"/>
            <w:noWrap/>
            <w:vAlign w:val="bottom"/>
            <w:hideMark/>
          </w:tcPr>
          <w:p w14:paraId="742F6A68" w14:textId="77777777" w:rsidR="008270E3" w:rsidRPr="00187F15" w:rsidRDefault="008270E3" w:rsidP="00544EDC">
            <w:pPr>
              <w:jc w:val="left"/>
              <w:rPr>
                <w:rFonts w:eastAsia="Times New Roman" w:cs="Arial"/>
                <w:b/>
                <w:sz w:val="24"/>
                <w:szCs w:val="24"/>
                <w:lang w:val="it-IT" w:eastAsia="it-CH"/>
              </w:rPr>
            </w:pPr>
            <w:r w:rsidRPr="00187F15">
              <w:rPr>
                <w:rFonts w:eastAsia="Times New Roman" w:cs="Arial"/>
                <w:b/>
                <w:sz w:val="24"/>
                <w:szCs w:val="24"/>
                <w:lang w:val="it-IT" w:eastAsia="it-CH"/>
              </w:rPr>
              <w:t> </w:t>
            </w:r>
          </w:p>
        </w:tc>
      </w:tr>
    </w:tbl>
    <w:p w14:paraId="7EDC4228" w14:textId="77777777" w:rsidR="008270E3" w:rsidRPr="00187F15" w:rsidRDefault="008270E3" w:rsidP="008270E3">
      <w:pPr>
        <w:tabs>
          <w:tab w:val="left" w:pos="0"/>
          <w:tab w:val="left" w:pos="2268"/>
        </w:tabs>
        <w:rPr>
          <w:rFonts w:eastAsia="Times New Roman" w:cs="Arial"/>
          <w:sz w:val="24"/>
          <w:szCs w:val="24"/>
          <w:lang w:eastAsia="it-IT"/>
        </w:rPr>
      </w:pPr>
    </w:p>
    <w:p w14:paraId="62E2ED91" w14:textId="77777777" w:rsidR="008270E3" w:rsidRPr="00187F15" w:rsidRDefault="008270E3" w:rsidP="008270E3">
      <w:pPr>
        <w:rPr>
          <w:rFonts w:eastAsia="Calibri" w:cs="Arial"/>
          <w:b/>
          <w:sz w:val="24"/>
          <w:szCs w:val="24"/>
          <w:lang w:eastAsia="it-IT"/>
        </w:rPr>
      </w:pPr>
      <w:r w:rsidRPr="00187F15">
        <w:rPr>
          <w:rFonts w:eastAsia="Calibri" w:cs="Arial"/>
          <w:b/>
          <w:sz w:val="24"/>
          <w:szCs w:val="24"/>
          <w:lang w:eastAsia="it-IT"/>
        </w:rPr>
        <w:t>Art .2</w:t>
      </w:r>
    </w:p>
    <w:p w14:paraId="36C0C964" w14:textId="77777777" w:rsidR="008270E3" w:rsidRPr="00187F15" w:rsidRDefault="008270E3" w:rsidP="008270E3">
      <w:pPr>
        <w:ind w:left="284" w:hanging="284"/>
        <w:rPr>
          <w:rFonts w:eastAsia="Calibri" w:cs="Arial"/>
          <w:sz w:val="24"/>
          <w:szCs w:val="24"/>
          <w:lang w:eastAsia="it-IT"/>
        </w:rPr>
      </w:pPr>
      <w:r w:rsidRPr="00187F15">
        <w:rPr>
          <w:rFonts w:eastAsia="Calibri" w:cs="Arial"/>
          <w:sz w:val="24"/>
          <w:szCs w:val="24"/>
          <w:lang w:eastAsia="it-IT"/>
        </w:rPr>
        <w:t xml:space="preserve">Il Consiglio di Stato presenta entro </w:t>
      </w:r>
      <w:proofErr w:type="gramStart"/>
      <w:r w:rsidRPr="00187F15">
        <w:rPr>
          <w:rFonts w:eastAsia="Calibri" w:cs="Arial"/>
          <w:sz w:val="24"/>
          <w:szCs w:val="24"/>
          <w:lang w:eastAsia="it-IT"/>
        </w:rPr>
        <w:t>il</w:t>
      </w:r>
      <w:proofErr w:type="gramEnd"/>
      <w:r w:rsidRPr="00187F15">
        <w:rPr>
          <w:rFonts w:eastAsia="Calibri" w:cs="Arial"/>
          <w:sz w:val="24"/>
          <w:szCs w:val="24"/>
          <w:lang w:eastAsia="it-IT"/>
        </w:rPr>
        <w:t xml:space="preserve"> 1. febbraio 2026 un Messaggio concernente l’entrata in vigore delle modifiche legislative approvate dal popolo il 28 settembre 2025, in base ai seguenti principi:</w:t>
      </w:r>
    </w:p>
    <w:p w14:paraId="1CFAC285" w14:textId="77777777" w:rsidR="008270E3" w:rsidRPr="00187F15" w:rsidRDefault="008270E3" w:rsidP="008270E3">
      <w:pPr>
        <w:ind w:left="284" w:hanging="284"/>
        <w:rPr>
          <w:rFonts w:eastAsia="Calibri" w:cs="Arial"/>
          <w:sz w:val="24"/>
          <w:szCs w:val="24"/>
          <w:lang w:eastAsia="it-IT"/>
        </w:rPr>
      </w:pPr>
      <w:r w:rsidRPr="00187F15">
        <w:rPr>
          <w:rFonts w:eastAsia="Calibri" w:cs="Arial"/>
          <w:sz w:val="24"/>
          <w:szCs w:val="24"/>
          <w:lang w:eastAsia="it-IT"/>
        </w:rPr>
        <w:t>-</w:t>
      </w:r>
      <w:r w:rsidRPr="00187F15">
        <w:rPr>
          <w:rFonts w:eastAsia="Calibri" w:cs="Arial"/>
          <w:sz w:val="24"/>
          <w:szCs w:val="24"/>
          <w:lang w:eastAsia="it-IT"/>
        </w:rPr>
        <w:tab/>
        <w:t>entrambe le modifiche legislative devono essere attuate in modo tra loro proporzionato;</w:t>
      </w:r>
    </w:p>
    <w:p w14:paraId="5B051CD7" w14:textId="77777777" w:rsidR="008270E3" w:rsidRPr="00187F15" w:rsidRDefault="008270E3" w:rsidP="008270E3">
      <w:pPr>
        <w:ind w:left="284" w:hanging="284"/>
        <w:rPr>
          <w:rFonts w:eastAsia="Calibri" w:cs="Arial"/>
          <w:sz w:val="24"/>
          <w:szCs w:val="24"/>
          <w:lang w:eastAsia="it-IT"/>
        </w:rPr>
      </w:pPr>
      <w:r w:rsidRPr="00187F15">
        <w:rPr>
          <w:rFonts w:eastAsia="Calibri" w:cs="Arial"/>
          <w:sz w:val="24"/>
          <w:szCs w:val="24"/>
          <w:lang w:eastAsia="it-IT"/>
        </w:rPr>
        <w:t>-</w:t>
      </w:r>
      <w:r w:rsidRPr="00187F15">
        <w:rPr>
          <w:rFonts w:eastAsia="Calibri" w:cs="Arial"/>
          <w:sz w:val="24"/>
          <w:szCs w:val="24"/>
          <w:lang w:eastAsia="it-IT"/>
        </w:rPr>
        <w:tab/>
        <w:t xml:space="preserve">l’obiettivo di riduzione del limite superiore al 10% di cui all’art. 37 cpv. 3 </w:t>
      </w:r>
      <w:proofErr w:type="spellStart"/>
      <w:r w:rsidRPr="00187F15">
        <w:rPr>
          <w:rFonts w:eastAsia="Calibri" w:cs="Arial"/>
          <w:sz w:val="24"/>
          <w:szCs w:val="24"/>
          <w:lang w:eastAsia="it-IT"/>
        </w:rPr>
        <w:t>LCAMal</w:t>
      </w:r>
      <w:proofErr w:type="spellEnd"/>
      <w:r w:rsidRPr="00187F15">
        <w:rPr>
          <w:rFonts w:eastAsia="Calibri" w:cs="Arial"/>
          <w:sz w:val="24"/>
          <w:szCs w:val="24"/>
          <w:lang w:eastAsia="it-IT"/>
        </w:rPr>
        <w:t xml:space="preserve"> deve essere attuato prioritariamente per il ceto medio;</w:t>
      </w:r>
    </w:p>
    <w:p w14:paraId="6E304A9B" w14:textId="646DBABE" w:rsidR="008270E3" w:rsidRPr="00187F15" w:rsidRDefault="008270E3" w:rsidP="008270E3">
      <w:pPr>
        <w:ind w:left="284" w:hanging="284"/>
        <w:rPr>
          <w:rFonts w:eastAsia="Calibri" w:cs="Arial"/>
          <w:sz w:val="24"/>
          <w:szCs w:val="24"/>
          <w:lang w:eastAsia="it-IT"/>
        </w:rPr>
      </w:pPr>
      <w:r w:rsidRPr="00187F15">
        <w:rPr>
          <w:rFonts w:eastAsia="Calibri" w:cs="Arial"/>
          <w:sz w:val="24"/>
          <w:szCs w:val="24"/>
          <w:lang w:eastAsia="it-IT"/>
        </w:rPr>
        <w:t>-</w:t>
      </w:r>
      <w:r w:rsidRPr="00187F15">
        <w:rPr>
          <w:rFonts w:eastAsia="Calibri" w:cs="Arial"/>
          <w:sz w:val="24"/>
          <w:szCs w:val="24"/>
          <w:lang w:eastAsia="it-IT"/>
        </w:rPr>
        <w:tab/>
        <w:t xml:space="preserve">l’impatto finanziario delle modifiche legislative deve essere compensato </w:t>
      </w:r>
      <w:r w:rsidRPr="008270E3">
        <w:rPr>
          <w:rFonts w:eastAsia="Calibri" w:cs="Arial"/>
          <w:strike/>
          <w:sz w:val="24"/>
          <w:szCs w:val="24"/>
          <w:lang w:eastAsia="it-IT"/>
        </w:rPr>
        <w:t xml:space="preserve">prioritariamente con misure di contenimento della spesa distribuite in modo equilibrato tra i Dipartimenti, </w:t>
      </w:r>
      <w:r w:rsidRPr="008270E3">
        <w:rPr>
          <w:rFonts w:eastAsia="Calibri" w:cs="Arial"/>
          <w:strike/>
          <w:sz w:val="24"/>
          <w:szCs w:val="24"/>
          <w:lang w:eastAsia="it-IT"/>
        </w:rPr>
        <w:lastRenderedPageBreak/>
        <w:t>escluso l’aumento generalizzato di imposte</w:t>
      </w:r>
      <w:r w:rsidRPr="008270E3">
        <w:rPr>
          <w:rFonts w:eastAsia="Calibri" w:cs="Arial"/>
          <w:sz w:val="24"/>
          <w:szCs w:val="24"/>
          <w:lang w:eastAsia="it-IT"/>
        </w:rPr>
        <w:t xml:space="preserve"> </w:t>
      </w:r>
      <w:r w:rsidRPr="00EB18D7">
        <w:rPr>
          <w:rFonts w:eastAsia="Calibri" w:cs="Arial"/>
          <w:color w:val="EE0000"/>
          <w:sz w:val="24"/>
          <w:szCs w:val="24"/>
          <w:lang w:eastAsia="it-IT"/>
        </w:rPr>
        <w:t>agendo in modo tra loro proporzionato su misure di contenimento della spesa distribuite in modo equilibrato tra i Dipartimenti, maggiori entrate fiscali.</w:t>
      </w:r>
      <w:r w:rsidRPr="008270E3">
        <w:rPr>
          <w:rFonts w:eastAsia="Calibri" w:cs="Arial"/>
          <w:sz w:val="24"/>
          <w:szCs w:val="24"/>
          <w:lang w:eastAsia="it-IT"/>
        </w:rPr>
        <w:t xml:space="preserve">   </w:t>
      </w:r>
    </w:p>
    <w:p w14:paraId="4DAB08BB" w14:textId="77777777" w:rsidR="008270E3" w:rsidRPr="00187F15" w:rsidRDefault="008270E3" w:rsidP="008270E3">
      <w:pPr>
        <w:ind w:left="284" w:hanging="284"/>
        <w:rPr>
          <w:rFonts w:eastAsia="Calibri" w:cs="Arial"/>
          <w:sz w:val="24"/>
          <w:szCs w:val="24"/>
          <w:lang w:eastAsia="it-IT"/>
        </w:rPr>
      </w:pPr>
      <w:r w:rsidRPr="00187F15">
        <w:rPr>
          <w:rFonts w:eastAsia="Calibri" w:cs="Arial"/>
          <w:sz w:val="24"/>
          <w:szCs w:val="24"/>
          <w:lang w:eastAsia="it-IT"/>
        </w:rPr>
        <w:t>-</w:t>
      </w:r>
      <w:r w:rsidRPr="00187F15">
        <w:rPr>
          <w:rFonts w:eastAsia="Calibri" w:cs="Arial"/>
          <w:sz w:val="24"/>
          <w:szCs w:val="24"/>
          <w:lang w:eastAsia="it-IT"/>
        </w:rPr>
        <w:tab/>
      </w:r>
      <w:r w:rsidRPr="00EB18D7">
        <w:rPr>
          <w:rFonts w:eastAsia="Calibri" w:cs="Arial"/>
          <w:sz w:val="24"/>
          <w:szCs w:val="24"/>
          <w:lang w:eastAsia="it-IT"/>
        </w:rPr>
        <w:t>non possono essere riversati oneri netti ai Comuni.</w:t>
      </w:r>
    </w:p>
    <w:p w14:paraId="357AC17B" w14:textId="77777777" w:rsidR="008270E3" w:rsidRPr="00187F15" w:rsidRDefault="008270E3" w:rsidP="008270E3">
      <w:pPr>
        <w:rPr>
          <w:rFonts w:eastAsia="Calibri" w:cs="Arial"/>
          <w:sz w:val="24"/>
          <w:szCs w:val="24"/>
          <w:lang w:eastAsia="it-IT"/>
        </w:rPr>
      </w:pPr>
    </w:p>
    <w:p w14:paraId="415D5377" w14:textId="77777777" w:rsidR="008270E3" w:rsidRPr="00187F15" w:rsidRDefault="008270E3" w:rsidP="008270E3">
      <w:pPr>
        <w:rPr>
          <w:rFonts w:eastAsia="Calibri" w:cs="Arial"/>
          <w:b/>
          <w:sz w:val="24"/>
          <w:szCs w:val="24"/>
          <w:lang w:eastAsia="it-IT"/>
        </w:rPr>
      </w:pPr>
      <w:r w:rsidRPr="00187F15">
        <w:rPr>
          <w:rFonts w:eastAsia="Calibri" w:cs="Arial"/>
          <w:b/>
          <w:sz w:val="24"/>
          <w:szCs w:val="24"/>
          <w:lang w:eastAsia="it-IT"/>
        </w:rPr>
        <w:t>Art. 3</w:t>
      </w:r>
    </w:p>
    <w:p w14:paraId="37AC9EFA" w14:textId="427EAE49" w:rsidR="00EB18D7" w:rsidRPr="00EB18D7" w:rsidRDefault="008270E3" w:rsidP="00EB18D7">
      <w:pPr>
        <w:rPr>
          <w:rFonts w:eastAsia="Calibri" w:cs="Arial"/>
          <w:sz w:val="24"/>
          <w:szCs w:val="24"/>
          <w:lang w:eastAsia="it-IT"/>
        </w:rPr>
      </w:pPr>
      <w:r w:rsidRPr="00187F15">
        <w:rPr>
          <w:rFonts w:eastAsia="Calibri" w:cs="Arial"/>
          <w:sz w:val="24"/>
          <w:szCs w:val="24"/>
          <w:lang w:eastAsia="it-IT"/>
        </w:rPr>
        <w:t xml:space="preserve">L’art. 37 cpv. 3 e 4 </w:t>
      </w:r>
      <w:proofErr w:type="spellStart"/>
      <w:r w:rsidRPr="00187F15">
        <w:rPr>
          <w:rFonts w:eastAsia="Calibri" w:cs="Arial"/>
          <w:sz w:val="24"/>
          <w:szCs w:val="24"/>
          <w:lang w:eastAsia="it-IT"/>
        </w:rPr>
        <w:t>LCAMal</w:t>
      </w:r>
      <w:proofErr w:type="spellEnd"/>
      <w:r w:rsidRPr="00187F15">
        <w:rPr>
          <w:rFonts w:eastAsia="Calibri" w:cs="Arial"/>
          <w:sz w:val="24"/>
          <w:szCs w:val="24"/>
          <w:lang w:eastAsia="it-IT"/>
        </w:rPr>
        <w:t xml:space="preserve"> e l’art. 32 cpv. 1 lett. LT, così come approvati dal popolo il 28 settembre 2025, entrano in vigore con effetto al 1. gennaio 2027, salvo diversa decisione del Gran Consiglio in evasione del Messaggio di cui all’art. 2 del presente Decreto.</w:t>
      </w:r>
    </w:p>
    <w:sectPr w:rsidR="00EB18D7" w:rsidRPr="00EB18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E3"/>
    <w:rsid w:val="008270E3"/>
    <w:rsid w:val="00E64A40"/>
    <w:rsid w:val="00EB18D7"/>
    <w:rsid w:val="00FA58CD"/>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6CCA"/>
  <w15:chartTrackingRefBased/>
  <w15:docId w15:val="{28C4FFB2-8BD4-4E49-8F48-D08F9E63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0E3"/>
    <w:pPr>
      <w:spacing w:after="0" w:line="240" w:lineRule="auto"/>
      <w:jc w:val="both"/>
    </w:pPr>
    <w:rPr>
      <w:rFonts w:ascii="Arial" w:hAnsi="Arial"/>
      <w:kern w:val="0"/>
      <w:sz w:val="22"/>
      <w:szCs w:val="22"/>
      <w14:ligatures w14:val="none"/>
    </w:rPr>
  </w:style>
  <w:style w:type="paragraph" w:styleId="Titolo1">
    <w:name w:val="heading 1"/>
    <w:basedOn w:val="Normale"/>
    <w:next w:val="Normale"/>
    <w:link w:val="Titolo1Carattere"/>
    <w:uiPriority w:val="9"/>
    <w:qFormat/>
    <w:rsid w:val="008270E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8270E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8270E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8270E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8270E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8270E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8270E3"/>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8270E3"/>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8270E3"/>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70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70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70E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70E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70E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70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70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70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70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70E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8270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70E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8270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70E3"/>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8270E3"/>
    <w:rPr>
      <w:i/>
      <w:iCs/>
      <w:color w:val="404040" w:themeColor="text1" w:themeTint="BF"/>
    </w:rPr>
  </w:style>
  <w:style w:type="paragraph" w:styleId="Paragrafoelenco">
    <w:name w:val="List Paragraph"/>
    <w:basedOn w:val="Normale"/>
    <w:uiPriority w:val="34"/>
    <w:qFormat/>
    <w:rsid w:val="008270E3"/>
    <w:pPr>
      <w:spacing w:after="160" w:line="278" w:lineRule="auto"/>
      <w:ind w:left="720"/>
      <w:contextualSpacing/>
      <w:jc w:val="left"/>
    </w:pPr>
    <w:rPr>
      <w:rFonts w:asciiTheme="minorHAnsi" w:hAnsiTheme="minorHAnsi"/>
      <w:kern w:val="2"/>
      <w:sz w:val="24"/>
      <w:szCs w:val="24"/>
      <w14:ligatures w14:val="standardContextual"/>
    </w:rPr>
  </w:style>
  <w:style w:type="character" w:styleId="Enfasiintensa">
    <w:name w:val="Intense Emphasis"/>
    <w:basedOn w:val="Carpredefinitoparagrafo"/>
    <w:uiPriority w:val="21"/>
    <w:qFormat/>
    <w:rsid w:val="008270E3"/>
    <w:rPr>
      <w:i/>
      <w:iCs/>
      <w:color w:val="0F4761" w:themeColor="accent1" w:themeShade="BF"/>
    </w:rPr>
  </w:style>
  <w:style w:type="paragraph" w:styleId="Citazioneintensa">
    <w:name w:val="Intense Quote"/>
    <w:basedOn w:val="Normale"/>
    <w:next w:val="Normale"/>
    <w:link w:val="CitazioneintensaCarattere"/>
    <w:uiPriority w:val="30"/>
    <w:qFormat/>
    <w:rsid w:val="008270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8270E3"/>
    <w:rPr>
      <w:i/>
      <w:iCs/>
      <w:color w:val="0F4761" w:themeColor="accent1" w:themeShade="BF"/>
    </w:rPr>
  </w:style>
  <w:style w:type="character" w:styleId="Riferimentointenso">
    <w:name w:val="Intense Reference"/>
    <w:basedOn w:val="Carpredefinitoparagrafo"/>
    <w:uiPriority w:val="32"/>
    <w:qFormat/>
    <w:rsid w:val="00827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Durisch</dc:creator>
  <cp:keywords/>
  <dc:description/>
  <cp:lastModifiedBy>Ivo Durisch</cp:lastModifiedBy>
  <cp:revision>2</cp:revision>
  <dcterms:created xsi:type="dcterms:W3CDTF">2025-12-08T06:37:00Z</dcterms:created>
  <dcterms:modified xsi:type="dcterms:W3CDTF">2025-12-10T11:30:00Z</dcterms:modified>
</cp:coreProperties>
</file>